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26B7" w14:textId="77777777" w:rsidR="00DA4835" w:rsidRDefault="00DA4835" w:rsidP="009F54D3">
      <w:pPr>
        <w:spacing w:after="0" w:line="240" w:lineRule="auto"/>
        <w:ind w:firstLine="5103"/>
        <w:jc w:val="both"/>
        <w:rPr>
          <w:rFonts w:ascii="Times New Roman" w:eastAsia="Times New Roman" w:hAnsi="Times New Roman" w:cs="Times New Roman"/>
          <w:sz w:val="28"/>
          <w:szCs w:val="28"/>
          <w:lang w:eastAsia="uk-UA"/>
        </w:rPr>
      </w:pPr>
      <w:bookmarkStart w:id="0" w:name="_GoBack"/>
      <w:bookmarkEnd w:id="0"/>
    </w:p>
    <w:p w14:paraId="315AEBA8" w14:textId="7A934E2C" w:rsidR="00E2599D" w:rsidRPr="00E2599D" w:rsidRDefault="00E2599D" w:rsidP="00E2599D">
      <w:pPr>
        <w:tabs>
          <w:tab w:val="left" w:pos="0"/>
        </w:tabs>
        <w:spacing w:after="0" w:line="240" w:lineRule="auto"/>
        <w:jc w:val="center"/>
        <w:rPr>
          <w:rFonts w:ascii="Times New Roman" w:eastAsia="Times New Roman" w:hAnsi="Times New Roman" w:cs="Times New Roman"/>
          <w:sz w:val="28"/>
          <w:szCs w:val="28"/>
          <w:lang w:eastAsia="ar-SA"/>
        </w:rPr>
      </w:pPr>
      <w:r w:rsidRPr="00E2599D">
        <w:rPr>
          <w:rFonts w:ascii="Times New Roman" w:eastAsia="Times New Roman" w:hAnsi="Times New Roman" w:cs="Times New Roman"/>
          <w:sz w:val="28"/>
          <w:szCs w:val="28"/>
          <w:lang w:eastAsia="uk-UA"/>
        </w:rPr>
        <w:t>Індивідуальна податкова консультація</w:t>
      </w:r>
      <w:r w:rsidR="00D22C3B">
        <w:rPr>
          <w:rFonts w:ascii="Times New Roman" w:eastAsia="Times New Roman" w:hAnsi="Times New Roman" w:cs="Times New Roman"/>
          <w:sz w:val="28"/>
          <w:szCs w:val="28"/>
          <w:lang w:eastAsia="uk-UA"/>
        </w:rPr>
        <w:t xml:space="preserve"> </w:t>
      </w:r>
    </w:p>
    <w:p w14:paraId="41DF8367" w14:textId="77777777" w:rsidR="000C5488" w:rsidRDefault="000C5488" w:rsidP="00D22C3B">
      <w:pPr>
        <w:spacing w:after="0" w:line="240" w:lineRule="auto"/>
        <w:ind w:firstLine="567"/>
        <w:jc w:val="both"/>
        <w:rPr>
          <w:rFonts w:ascii="Times New Roman" w:eastAsia="Times New Roman" w:hAnsi="Times New Roman" w:cs="Times New Roman"/>
          <w:sz w:val="28"/>
          <w:szCs w:val="28"/>
          <w:lang w:eastAsia="ar-SA"/>
        </w:rPr>
      </w:pPr>
    </w:p>
    <w:p w14:paraId="24C492FB" w14:textId="0AC89026" w:rsidR="00D22C3B" w:rsidRPr="00D22C3B" w:rsidRDefault="00E2599D" w:rsidP="00D22C3B">
      <w:pPr>
        <w:spacing w:after="0" w:line="240" w:lineRule="auto"/>
        <w:ind w:firstLineChars="202" w:firstLine="566"/>
        <w:jc w:val="both"/>
        <w:rPr>
          <w:rFonts w:ascii="Times New Roman" w:eastAsia="Times New Roman" w:hAnsi="Times New Roman" w:cs="Times New Roman"/>
          <w:sz w:val="28"/>
          <w:szCs w:val="28"/>
          <w:lang w:eastAsia="ru-RU"/>
        </w:rPr>
      </w:pPr>
      <w:r w:rsidRPr="000C5488">
        <w:rPr>
          <w:rFonts w:ascii="Times New Roman" w:eastAsia="Times New Roman" w:hAnsi="Times New Roman" w:cs="Times New Roman"/>
          <w:sz w:val="28"/>
          <w:szCs w:val="28"/>
          <w:lang w:eastAsia="ar-SA"/>
        </w:rPr>
        <w:t xml:space="preserve">Державна податкова служба України розглянула звернення </w:t>
      </w:r>
      <w:r w:rsidR="0021441D">
        <w:rPr>
          <w:rFonts w:ascii="Times New Roman" w:eastAsia="Times New Roman" w:hAnsi="Times New Roman" w:cs="Times New Roman"/>
          <w:sz w:val="28"/>
          <w:szCs w:val="28"/>
          <w:lang w:eastAsia="ar-SA"/>
        </w:rPr>
        <w:t xml:space="preserve">на  отримання індивідуальної податкової консультації </w:t>
      </w:r>
      <w:r w:rsidR="00456633" w:rsidRPr="000B4852">
        <w:rPr>
          <w:rFonts w:ascii="Times New Roman" w:eastAsia="Times New Roman" w:hAnsi="Times New Roman" w:cs="Times New Roman"/>
          <w:sz w:val="28"/>
          <w:szCs w:val="28"/>
          <w:lang w:eastAsia="ru-RU"/>
        </w:rPr>
        <w:t>щодо відображення в обліку майна підприємства, знищеного в результаті агресії російської федерації</w:t>
      </w:r>
      <w:r w:rsidR="00456633">
        <w:rPr>
          <w:rFonts w:ascii="Times New Roman" w:eastAsia="Times New Roman" w:hAnsi="Times New Roman" w:cs="Times New Roman"/>
          <w:sz w:val="28"/>
          <w:szCs w:val="28"/>
          <w:lang w:eastAsia="ru-RU"/>
        </w:rPr>
        <w:t>, та</w:t>
      </w:r>
      <w:r w:rsidR="00D22C3B" w:rsidRPr="00D22C3B">
        <w:rPr>
          <w:rFonts w:ascii="Times New Roman" w:eastAsia="Times New Roman" w:hAnsi="Times New Roman" w:cs="Times New Roman"/>
          <w:sz w:val="28"/>
          <w:szCs w:val="28"/>
          <w:lang w:eastAsia="ru-RU"/>
        </w:rPr>
        <w:t xml:space="preserve"> керуючись ст.</w:t>
      </w:r>
      <w:r w:rsidR="001E1110">
        <w:rPr>
          <w:rFonts w:ascii="Times New Roman" w:eastAsia="Times New Roman" w:hAnsi="Times New Roman" w:cs="Times New Roman"/>
          <w:sz w:val="28"/>
          <w:szCs w:val="28"/>
          <w:lang w:eastAsia="ru-RU"/>
        </w:rPr>
        <w:t> </w:t>
      </w:r>
      <w:r w:rsidR="00D22C3B" w:rsidRPr="00D22C3B">
        <w:rPr>
          <w:rFonts w:ascii="Times New Roman" w:eastAsia="Times New Roman" w:hAnsi="Times New Roman" w:cs="Times New Roman"/>
          <w:sz w:val="28"/>
          <w:szCs w:val="28"/>
          <w:lang w:eastAsia="ru-RU"/>
        </w:rPr>
        <w:t>52 Податкового кодексу України (далі – Кодекс), в межах компетенції повідомляє.</w:t>
      </w:r>
    </w:p>
    <w:p w14:paraId="7085A457" w14:textId="0C544611" w:rsidR="00456633" w:rsidRPr="00FB0C9C" w:rsidRDefault="00456633" w:rsidP="00456633">
      <w:pPr>
        <w:spacing w:after="0" w:line="240" w:lineRule="auto"/>
        <w:ind w:firstLine="567"/>
        <w:jc w:val="both"/>
        <w:rPr>
          <w:rFonts w:ascii="Times New Roman" w:eastAsia="Calibri" w:hAnsi="Times New Roman" w:cs="Times New Roman"/>
          <w:sz w:val="28"/>
          <w:szCs w:val="28"/>
        </w:rPr>
      </w:pPr>
      <w:r w:rsidRPr="00FB0C9C">
        <w:rPr>
          <w:rFonts w:ascii="Times New Roman" w:eastAsia="Calibri" w:hAnsi="Times New Roman" w:cs="Times New Roman"/>
          <w:sz w:val="28"/>
          <w:szCs w:val="28"/>
        </w:rPr>
        <w:t>Як зазначено у зверненні,</w:t>
      </w:r>
      <w:r>
        <w:rPr>
          <w:rFonts w:ascii="Times New Roman" w:eastAsia="Calibri" w:hAnsi="Times New Roman" w:cs="Times New Roman"/>
          <w:sz w:val="28"/>
          <w:szCs w:val="28"/>
        </w:rPr>
        <w:t xml:space="preserve"> склад Товариства</w:t>
      </w:r>
      <w:r w:rsidR="007748C1">
        <w:rPr>
          <w:rFonts w:ascii="Times New Roman" w:eastAsia="Calibri" w:hAnsi="Times New Roman" w:cs="Times New Roman"/>
          <w:sz w:val="28"/>
          <w:szCs w:val="28"/>
        </w:rPr>
        <w:t xml:space="preserve"> </w:t>
      </w:r>
      <w:r w:rsidR="006D23E1">
        <w:rPr>
          <w:rFonts w:ascii="Times New Roman" w:eastAsia="Calibri" w:hAnsi="Times New Roman" w:cs="Times New Roman"/>
          <w:sz w:val="28"/>
          <w:szCs w:val="28"/>
        </w:rPr>
        <w:t>знищено балістичною ракетою в результаті чого компанія втратила свій товар</w:t>
      </w:r>
      <w:r w:rsidRPr="00FB0C9C">
        <w:rPr>
          <w:rFonts w:ascii="Times New Roman" w:eastAsia="Calibri" w:hAnsi="Times New Roman" w:cs="Times New Roman"/>
          <w:sz w:val="28"/>
          <w:szCs w:val="28"/>
        </w:rPr>
        <w:t xml:space="preserve">. </w:t>
      </w:r>
    </w:p>
    <w:p w14:paraId="51FE9C15" w14:textId="3A45D25A" w:rsidR="00456633" w:rsidRPr="003D1762" w:rsidRDefault="00456633" w:rsidP="00456633">
      <w:pPr>
        <w:tabs>
          <w:tab w:val="left" w:pos="5580"/>
        </w:tabs>
        <w:spacing w:after="0" w:line="240" w:lineRule="auto"/>
        <w:ind w:firstLine="567"/>
        <w:jc w:val="both"/>
        <w:rPr>
          <w:rFonts w:ascii="Times New Roman" w:eastAsia="Calibri" w:hAnsi="Times New Roman" w:cs="Times New Roman"/>
          <w:sz w:val="28"/>
          <w:szCs w:val="28"/>
        </w:rPr>
      </w:pPr>
      <w:r w:rsidRPr="003D1762">
        <w:rPr>
          <w:rFonts w:ascii="Times New Roman" w:eastAsia="Calibri" w:hAnsi="Times New Roman" w:cs="Times New Roman"/>
          <w:sz w:val="28"/>
          <w:szCs w:val="28"/>
        </w:rPr>
        <w:t xml:space="preserve">У зв’язку із зазначеним, </w:t>
      </w:r>
      <w:r w:rsidR="006D23E1">
        <w:rPr>
          <w:rFonts w:ascii="Times New Roman" w:eastAsia="Calibri" w:hAnsi="Times New Roman" w:cs="Times New Roman"/>
          <w:sz w:val="28"/>
          <w:szCs w:val="28"/>
        </w:rPr>
        <w:t xml:space="preserve">Товариство </w:t>
      </w:r>
      <w:r w:rsidRPr="003D1762">
        <w:rPr>
          <w:rFonts w:ascii="Times New Roman" w:eastAsia="Calibri" w:hAnsi="Times New Roman" w:cs="Times New Roman"/>
          <w:sz w:val="28"/>
          <w:szCs w:val="28"/>
        </w:rPr>
        <w:t>просить надати індивідуальну податкову консультацію  з наступн</w:t>
      </w:r>
      <w:r w:rsidR="006D23E1">
        <w:rPr>
          <w:rFonts w:ascii="Times New Roman" w:eastAsia="Calibri" w:hAnsi="Times New Roman" w:cs="Times New Roman"/>
          <w:sz w:val="28"/>
          <w:szCs w:val="28"/>
        </w:rPr>
        <w:t>их питань</w:t>
      </w:r>
      <w:r w:rsidRPr="003D1762">
        <w:rPr>
          <w:rFonts w:ascii="Times New Roman" w:eastAsia="Calibri" w:hAnsi="Times New Roman" w:cs="Times New Roman"/>
          <w:sz w:val="28"/>
          <w:szCs w:val="28"/>
        </w:rPr>
        <w:t>:</w:t>
      </w:r>
    </w:p>
    <w:p w14:paraId="06D65421" w14:textId="31B743B9" w:rsidR="006D23E1" w:rsidRPr="006D23E1" w:rsidRDefault="006D23E1" w:rsidP="006D23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456633" w:rsidRPr="006D23E1">
        <w:rPr>
          <w:rFonts w:ascii="Times New Roman" w:eastAsia="Times New Roman" w:hAnsi="Times New Roman" w:cs="Times New Roman"/>
          <w:sz w:val="28"/>
          <w:szCs w:val="28"/>
          <w:lang w:eastAsia="ru-RU"/>
        </w:rPr>
        <w:t>Які</w:t>
      </w:r>
      <w:r w:rsidRPr="006D23E1">
        <w:rPr>
          <w:rFonts w:ascii="Times New Roman" w:eastAsia="Times New Roman" w:hAnsi="Times New Roman" w:cs="Times New Roman"/>
          <w:sz w:val="28"/>
          <w:szCs w:val="28"/>
          <w:lang w:eastAsia="ru-RU"/>
        </w:rPr>
        <w:t xml:space="preserve"> звіти, листи чи повідомлення необхідно відправити та в які організації? </w:t>
      </w:r>
    </w:p>
    <w:p w14:paraId="739E1434" w14:textId="3A7AE9A1" w:rsidR="00456633" w:rsidRPr="006D23E1" w:rsidRDefault="006D23E1" w:rsidP="006D23E1">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6D23E1">
        <w:rPr>
          <w:rFonts w:ascii="Times New Roman" w:eastAsia="Times New Roman" w:hAnsi="Times New Roman" w:cs="Times New Roman"/>
          <w:sz w:val="28"/>
          <w:szCs w:val="28"/>
          <w:lang w:eastAsia="ru-RU"/>
        </w:rPr>
        <w:t>Які документи необхідні для списання пошкодженого товару</w:t>
      </w:r>
      <w:r w:rsidR="00456633" w:rsidRPr="006D23E1">
        <w:rPr>
          <w:rFonts w:ascii="Times New Roman" w:eastAsia="Times New Roman" w:hAnsi="Times New Roman" w:cs="Times New Roman"/>
          <w:sz w:val="28"/>
          <w:szCs w:val="28"/>
          <w:lang w:eastAsia="ru-RU"/>
        </w:rPr>
        <w:t>?</w:t>
      </w:r>
    </w:p>
    <w:p w14:paraId="52E7836F" w14:textId="0E78776B" w:rsidR="006D23E1" w:rsidRDefault="006D23E1" w:rsidP="00456633">
      <w:pPr>
        <w:tabs>
          <w:tab w:val="left" w:pos="558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Чи існує механізм відшкодування збитків в таких випадках?</w:t>
      </w:r>
    </w:p>
    <w:p w14:paraId="2E65840D"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 xml:space="preserve">Згідно з п. 44.1 ст. 44   Кодексу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w:t>
      </w:r>
    </w:p>
    <w:p w14:paraId="0787BF97"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 xml:space="preserve">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 44.1 ст. 44 Кодексу. </w:t>
      </w:r>
    </w:p>
    <w:p w14:paraId="7DCDC7AA"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Для обрахунку об’єкта оподаткування платник податку на прибуток підприємств використовує дані бухгалтерського обліку та фінансової звітності щодо доходів, витрат та фінансового результату до оподаткування (абзац перший п. 44.2 ст. 44 Кодексу).</w:t>
      </w:r>
    </w:p>
    <w:p w14:paraId="5A71AD5B" w14:textId="577AFBA5"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 xml:space="preserve">Регулювання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 (абзац перший частини другої ст. 6 Закону України від 16 липня 1999 року № 996-XIV «Про бухгалтерський облік та фінансову звітність в Україні» зі змінами та доповненнями </w:t>
      </w:r>
      <w:r>
        <w:rPr>
          <w:rFonts w:ascii="Times New Roman" w:eastAsia="Calibri" w:hAnsi="Times New Roman" w:cs="Times New Roman"/>
          <w:sz w:val="28"/>
          <w:szCs w:val="28"/>
        </w:rPr>
        <w:br/>
      </w:r>
      <w:r w:rsidRPr="004E1346">
        <w:rPr>
          <w:rFonts w:ascii="Times New Roman" w:eastAsia="Calibri" w:hAnsi="Times New Roman" w:cs="Times New Roman"/>
          <w:sz w:val="28"/>
          <w:szCs w:val="28"/>
        </w:rPr>
        <w:t>(далі – Закон № 996-XIV).</w:t>
      </w:r>
    </w:p>
    <w:p w14:paraId="56146BC7" w14:textId="4E3EA4C6"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 xml:space="preserve">З питань, пов’язаних з порядком списання підприємствами знищеного або зіпсованого майна у зв’язку із російською збройною агресією проти України, Міністерством фінансів України надано роз’яснення листом від 10.10.2022 </w:t>
      </w:r>
      <w:r w:rsidRPr="004E1346">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w:t>
      </w:r>
      <w:r w:rsidRPr="004E1346">
        <w:rPr>
          <w:rFonts w:ascii="Times New Roman" w:eastAsia="Calibri" w:hAnsi="Times New Roman" w:cs="Times New Roman"/>
          <w:sz w:val="28"/>
          <w:szCs w:val="28"/>
        </w:rPr>
        <w:t>41010-06-62/23254, який розміщено на сайті ДПС за посиланням: https://tax.gov.ua/nove-pro-podatki--</w:t>
      </w:r>
      <w:proofErr w:type="spellStart"/>
      <w:r w:rsidRPr="004E1346">
        <w:rPr>
          <w:rFonts w:ascii="Times New Roman" w:eastAsia="Calibri" w:hAnsi="Times New Roman" w:cs="Times New Roman"/>
          <w:sz w:val="28"/>
          <w:szCs w:val="28"/>
        </w:rPr>
        <w:t>novini</w:t>
      </w:r>
      <w:proofErr w:type="spellEnd"/>
      <w:r w:rsidRPr="004E1346">
        <w:rPr>
          <w:rFonts w:ascii="Times New Roman" w:eastAsia="Calibri" w:hAnsi="Times New Roman" w:cs="Times New Roman"/>
          <w:sz w:val="28"/>
          <w:szCs w:val="28"/>
        </w:rPr>
        <w:t>-/629143.html.</w:t>
      </w:r>
    </w:p>
    <w:p w14:paraId="68778476" w14:textId="14BC9DAA"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Як зазначено у роз’ясненні, для забезпечення достовірності даних бухгалтерського обліку та фінансової звітності підприємства зобов’язані проводити інвентаризацію активів і зобов’язань, під час якої перевіряються і документально підтверджуються їх наявність, стан і оцінка (частина перша  ст.</w:t>
      </w:r>
      <w:r w:rsidR="0072096C">
        <w:rPr>
          <w:rFonts w:ascii="Times New Roman" w:eastAsia="Calibri" w:hAnsi="Times New Roman" w:cs="Times New Roman"/>
          <w:sz w:val="28"/>
          <w:szCs w:val="28"/>
        </w:rPr>
        <w:t> </w:t>
      </w:r>
      <w:r w:rsidR="00790CEF">
        <w:rPr>
          <w:rFonts w:ascii="Times New Roman" w:eastAsia="Calibri" w:hAnsi="Times New Roman" w:cs="Times New Roman"/>
          <w:sz w:val="28"/>
          <w:szCs w:val="28"/>
        </w:rPr>
        <w:t>‘</w:t>
      </w:r>
      <w:r w:rsidRPr="004E1346">
        <w:rPr>
          <w:rFonts w:ascii="Times New Roman" w:eastAsia="Calibri" w:hAnsi="Times New Roman" w:cs="Times New Roman"/>
          <w:sz w:val="28"/>
          <w:szCs w:val="28"/>
        </w:rPr>
        <w:t>10 Закону № 996-XIV).</w:t>
      </w:r>
    </w:p>
    <w:p w14:paraId="4C219488" w14:textId="05CC9F6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Згідно з Порядком подання фінансової звітності, затвердженим постановою Кабінету Міністрів України від 28 лютого 2000 року № 419 зі змінами, (далі – Порядок № 419) та Положенням про інвентаризацію активів та зобов’язань, затвердженим наказом Міністерства фінансів України від 02.09.2014 №</w:t>
      </w:r>
      <w:r>
        <w:rPr>
          <w:rFonts w:ascii="Times New Roman" w:eastAsia="Calibri" w:hAnsi="Times New Roman" w:cs="Times New Roman"/>
          <w:sz w:val="28"/>
          <w:szCs w:val="28"/>
        </w:rPr>
        <w:t> </w:t>
      </w:r>
      <w:r w:rsidRPr="004E1346">
        <w:rPr>
          <w:rFonts w:ascii="Times New Roman" w:eastAsia="Calibri" w:hAnsi="Times New Roman" w:cs="Times New Roman"/>
          <w:sz w:val="28"/>
          <w:szCs w:val="28"/>
        </w:rPr>
        <w:t>879, зареєстрованим у Міністерстві юстиції України 30.10.2014 за № 1365/26142, зі змінами (далі – Положення № 879) проведення інвентаризації обов’язкове у разі, зокрема, встановлення фактів крадіжок або зловживань, псування цінностей (на день встановлення таких фактів); техногенних аварій, пожежі чи стихійного лиха (на день після закінчення явищ) в обсязі, визначеному керівником підприємства.</w:t>
      </w:r>
    </w:p>
    <w:p w14:paraId="3F4C144D" w14:textId="3DDDB0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Як встановлено п.</w:t>
      </w:r>
      <w:r>
        <w:rPr>
          <w:rFonts w:ascii="Times New Roman" w:eastAsia="Calibri" w:hAnsi="Times New Roman" w:cs="Times New Roman"/>
          <w:sz w:val="28"/>
          <w:szCs w:val="28"/>
        </w:rPr>
        <w:t> </w:t>
      </w:r>
      <w:r w:rsidRPr="004E1346">
        <w:rPr>
          <w:rFonts w:ascii="Times New Roman" w:eastAsia="Calibri" w:hAnsi="Times New Roman" w:cs="Times New Roman"/>
          <w:sz w:val="28"/>
          <w:szCs w:val="28"/>
        </w:rPr>
        <w:t>4 розділу IV Положення №</w:t>
      </w:r>
      <w:r>
        <w:rPr>
          <w:rFonts w:ascii="Times New Roman" w:eastAsia="Calibri" w:hAnsi="Times New Roman" w:cs="Times New Roman"/>
          <w:sz w:val="28"/>
          <w:szCs w:val="28"/>
        </w:rPr>
        <w:t> </w:t>
      </w:r>
      <w:r w:rsidRPr="004E1346">
        <w:rPr>
          <w:rFonts w:ascii="Times New Roman" w:eastAsia="Calibri" w:hAnsi="Times New Roman" w:cs="Times New Roman"/>
          <w:sz w:val="28"/>
          <w:szCs w:val="28"/>
        </w:rPr>
        <w:t>879 виявлені при інвентаризації розбіжності між фактичною наявністю активів і зобов’язань і даними бухгалтерського обліку регулюються підприємствами в такому порядку, зокрема:</w:t>
      </w:r>
    </w:p>
    <w:p w14:paraId="64B3A137"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нестача запасів у межах установлених норм природного убутку, виявлена під час інвентаризації, списується за розпорядженням керівника підприємства на витрати;</w:t>
      </w:r>
    </w:p>
    <w:p w14:paraId="5A3CB39D"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нестача цінностей понад норми природного убутку, а також втрати від псування цінностей списуються з балансу та відносяться на рахунок винних осіб у розмірі, визначеному відповідно до законодавства, у разі якщо винні особи не встановлені, вони зараховуються на позабалансовий рахунок до моменту встановлення винних осіб або закриття справи згідно із законодавством.</w:t>
      </w:r>
    </w:p>
    <w:p w14:paraId="65C378CE"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bookmarkStart w:id="1" w:name="_Hlk226029464"/>
      <w:r w:rsidRPr="004E1346">
        <w:rPr>
          <w:rFonts w:ascii="Times New Roman" w:eastAsia="Calibri" w:hAnsi="Times New Roman" w:cs="Times New Roman"/>
          <w:sz w:val="28"/>
          <w:szCs w:val="28"/>
        </w:rPr>
        <w:t>Слід зазначити, що Порядок визначення шкоди та збитків, завданих Україні внаслідок збройної агресії російської федерації, затверджений постановою Кабінету Міністрів України від 20 березня 2022 року № 326 (в редакції постанови Кабінету Міністрів України від 22 липня 2022 року № 951).</w:t>
      </w:r>
    </w:p>
    <w:bookmarkEnd w:id="1"/>
    <w:p w14:paraId="16FE70D2" w14:textId="5312C886"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Порядок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затверджений постановою Кабінету Міністрів України від 19 квітня 2022 року №</w:t>
      </w:r>
      <w:r w:rsidR="0072096C">
        <w:rPr>
          <w:rFonts w:ascii="Times New Roman" w:eastAsia="Calibri" w:hAnsi="Times New Roman" w:cs="Times New Roman"/>
          <w:sz w:val="28"/>
          <w:szCs w:val="28"/>
        </w:rPr>
        <w:t> </w:t>
      </w:r>
      <w:r w:rsidRPr="004E1346">
        <w:rPr>
          <w:rFonts w:ascii="Times New Roman" w:eastAsia="Calibri" w:hAnsi="Times New Roman" w:cs="Times New Roman"/>
          <w:sz w:val="28"/>
          <w:szCs w:val="28"/>
        </w:rPr>
        <w:t>473. Цей Порядок застосовується для фіксації пошкоджень, зумовлених збройною агресією російської федерації, будівель та споруд приватної та комунальної форми власності, а також може застосовуватися для фіксації пошкоджень будівель і споруд державної форми власності.</w:t>
      </w:r>
    </w:p>
    <w:p w14:paraId="7514BD23" w14:textId="77777777" w:rsidR="002E2B21" w:rsidRPr="002E2B21" w:rsidRDefault="002E2B21" w:rsidP="002E2B21">
      <w:pPr>
        <w:spacing w:after="0" w:line="240" w:lineRule="auto"/>
        <w:ind w:firstLine="567"/>
        <w:jc w:val="both"/>
        <w:rPr>
          <w:rFonts w:ascii="Times New Roman" w:eastAsia="Times New Roman" w:hAnsi="Times New Roman" w:cs="Times New Roman"/>
          <w:sz w:val="28"/>
          <w:szCs w:val="28"/>
          <w:lang w:eastAsia="ru-RU"/>
        </w:rPr>
      </w:pPr>
      <w:r w:rsidRPr="002E2B21">
        <w:rPr>
          <w:rFonts w:ascii="Times New Roman" w:eastAsia="Times New Roman" w:hAnsi="Times New Roman" w:cs="Times New Roman"/>
          <w:sz w:val="28"/>
          <w:szCs w:val="28"/>
          <w:lang w:eastAsia="ru-RU"/>
        </w:rPr>
        <w:t>Частиною другою ст. 14</w:t>
      </w:r>
      <w:r w:rsidRPr="002E2B21">
        <w:rPr>
          <w:rFonts w:ascii="Times New Roman" w:eastAsia="Times New Roman" w:hAnsi="Times New Roman" w:cs="Times New Roman"/>
          <w:sz w:val="28"/>
          <w:szCs w:val="28"/>
          <w:vertAlign w:val="superscript"/>
          <w:lang w:eastAsia="ru-RU"/>
        </w:rPr>
        <w:t>1</w:t>
      </w:r>
      <w:r w:rsidRPr="002E2B21">
        <w:rPr>
          <w:rFonts w:ascii="Times New Roman" w:eastAsia="Times New Roman" w:hAnsi="Times New Roman" w:cs="Times New Roman"/>
          <w:sz w:val="28"/>
          <w:szCs w:val="28"/>
          <w:lang w:eastAsia="ru-RU"/>
        </w:rPr>
        <w:t xml:space="preserve"> Закону України від 02 грудня 1997 року </w:t>
      </w:r>
      <w:r w:rsidRPr="002E2B21">
        <w:rPr>
          <w:rFonts w:ascii="Times New Roman" w:eastAsia="Times New Roman" w:hAnsi="Times New Roman" w:cs="Times New Roman"/>
          <w:sz w:val="28"/>
          <w:szCs w:val="28"/>
          <w:lang w:eastAsia="ru-RU"/>
        </w:rPr>
        <w:br/>
        <w:t xml:space="preserve">№ 671/97-ВР «Про торгово-промислові палати в Україні» (далі – Закон </w:t>
      </w:r>
      <w:r w:rsidRPr="002E2B21">
        <w:rPr>
          <w:rFonts w:ascii="Times New Roman" w:eastAsia="Times New Roman" w:hAnsi="Times New Roman" w:cs="Times New Roman"/>
          <w:sz w:val="28"/>
          <w:szCs w:val="28"/>
          <w:lang w:eastAsia="ru-RU"/>
        </w:rPr>
        <w:br/>
        <w:t xml:space="preserve">№ 671/97-ВР) визначено, що форс-мажорними обставинами (обставинами непереборної сили) є надзвичайні та невідворотні обставини, що об'єктивно </w:t>
      </w:r>
      <w:r w:rsidRPr="002E2B21">
        <w:rPr>
          <w:rFonts w:ascii="Times New Roman" w:eastAsia="Times New Roman" w:hAnsi="Times New Roman" w:cs="Times New Roman"/>
          <w:sz w:val="28"/>
          <w:szCs w:val="28"/>
          <w:lang w:eastAsia="ru-RU"/>
        </w:rPr>
        <w:lastRenderedPageBreak/>
        <w:t>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w:t>
      </w:r>
    </w:p>
    <w:p w14:paraId="37A8EC0A" w14:textId="77777777" w:rsidR="002E2B21" w:rsidRPr="002E2B21" w:rsidRDefault="002E2B21" w:rsidP="002E2B21">
      <w:pPr>
        <w:spacing w:after="0" w:line="240" w:lineRule="auto"/>
        <w:ind w:firstLine="567"/>
        <w:jc w:val="both"/>
        <w:rPr>
          <w:rFonts w:ascii="Times New Roman" w:eastAsia="Times New Roman" w:hAnsi="Times New Roman" w:cs="Times New Roman"/>
          <w:sz w:val="28"/>
          <w:szCs w:val="28"/>
          <w:lang w:eastAsia="ru-RU"/>
        </w:rPr>
      </w:pPr>
      <w:r w:rsidRPr="002E2B21">
        <w:rPr>
          <w:rFonts w:ascii="Times New Roman" w:eastAsia="Times New Roman" w:hAnsi="Times New Roman" w:cs="Times New Roman"/>
          <w:sz w:val="28"/>
          <w:szCs w:val="28"/>
          <w:lang w:eastAsia="ru-RU"/>
        </w:rPr>
        <w:t>Торгово-промислова палата України (далі – ТПП) та уповноважені нею регіональні торгово-промислові палати засвідчують форс-мажорні обставини (обставини непереборної сили) та видають сертифікат про такі обставини протягом семи днів з дня звернення суб'єкта господарської діяльності за собівартістю (частина перша ст. 14</w:t>
      </w:r>
      <w:r w:rsidRPr="002E2B21">
        <w:rPr>
          <w:rFonts w:ascii="Times New Roman" w:eastAsia="Times New Roman" w:hAnsi="Times New Roman" w:cs="Times New Roman"/>
          <w:sz w:val="28"/>
          <w:szCs w:val="28"/>
          <w:vertAlign w:val="superscript"/>
          <w:lang w:eastAsia="ru-RU"/>
        </w:rPr>
        <w:t>1</w:t>
      </w:r>
      <w:r w:rsidRPr="002E2B21">
        <w:rPr>
          <w:rFonts w:ascii="Times New Roman" w:eastAsia="Times New Roman" w:hAnsi="Times New Roman" w:cs="Times New Roman"/>
          <w:sz w:val="28"/>
          <w:szCs w:val="28"/>
          <w:lang w:eastAsia="ru-RU"/>
        </w:rPr>
        <w:t xml:space="preserve"> Закону № 671/97-ВР).</w:t>
      </w:r>
    </w:p>
    <w:p w14:paraId="66740D14" w14:textId="77777777" w:rsidR="002E2B21" w:rsidRPr="002E2B21" w:rsidRDefault="002E2B21" w:rsidP="002E2B21">
      <w:pPr>
        <w:spacing w:after="0" w:line="240" w:lineRule="auto"/>
        <w:ind w:firstLine="567"/>
        <w:jc w:val="both"/>
        <w:rPr>
          <w:rFonts w:ascii="Times New Roman" w:eastAsia="Times New Roman" w:hAnsi="Times New Roman" w:cs="Times New Roman"/>
          <w:sz w:val="28"/>
          <w:szCs w:val="28"/>
          <w:lang w:eastAsia="ru-RU"/>
        </w:rPr>
      </w:pPr>
      <w:r w:rsidRPr="002E2B21">
        <w:rPr>
          <w:rFonts w:ascii="Times New Roman" w:eastAsia="Times New Roman" w:hAnsi="Times New Roman" w:cs="Times New Roman"/>
          <w:sz w:val="28"/>
          <w:szCs w:val="28"/>
          <w:lang w:eastAsia="ru-RU"/>
        </w:rPr>
        <w:t>Порядок засвідчення форс-мажорних обставин (обставин непереборної сили) в системі ТПП України встановлює Регламент засвідчення ТПП України та регіональними торгово-промисловими палатами форс-мажорних обставин (обставини непереборної сили), який затверджено рішенням президії ТПП України від 18.12.2014 № 44 (5) ( зі змінами) (далі – Регламент).</w:t>
      </w:r>
    </w:p>
    <w:p w14:paraId="0D26A31E" w14:textId="77777777" w:rsidR="002E2B21" w:rsidRPr="002E2B21" w:rsidRDefault="002E2B21" w:rsidP="002E2B21">
      <w:pPr>
        <w:spacing w:after="0" w:line="240" w:lineRule="auto"/>
        <w:ind w:firstLine="567"/>
        <w:jc w:val="both"/>
        <w:rPr>
          <w:rFonts w:ascii="Times New Roman" w:eastAsia="Times New Roman" w:hAnsi="Times New Roman" w:cs="Times New Roman"/>
          <w:sz w:val="28"/>
          <w:szCs w:val="28"/>
          <w:lang w:eastAsia="ru-RU"/>
        </w:rPr>
      </w:pPr>
      <w:r w:rsidRPr="002E2B21">
        <w:rPr>
          <w:rFonts w:ascii="Times New Roman" w:eastAsia="Times New Roman" w:hAnsi="Times New Roman" w:cs="Times New Roman"/>
          <w:sz w:val="28"/>
          <w:szCs w:val="28"/>
          <w:lang w:eastAsia="ru-RU"/>
        </w:rPr>
        <w:t>Відповідно до п. 6.2 Регламенту форс-мажорні обставини (обставини непереборної сили) засвідчуються за зверненням суб’єктів господарської діяльності та фізичних осіб по кожному окремому договору, окремим податковим та/чи іншим зобов’язанням/обов’язком, виконання яких стало неможливим через наявність зазначених обставин.</w:t>
      </w:r>
    </w:p>
    <w:p w14:paraId="19A55DF8" w14:textId="18FF2068"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Зважаючи на зазначене, врахування у складі витрат платника податку втрат від псування або знищення його майна повинно здійснюватися на підставі відповідних первинних документів, за умови проведення обов'язкової інвентаризації відповідно до наявних підстав для такої інвентаризації та за наявності сертифіката про форс-мажорні обставини (обставини непереборної сили).</w:t>
      </w:r>
    </w:p>
    <w:p w14:paraId="7812B03C" w14:textId="77777777" w:rsidR="004E1346" w:rsidRPr="004E1346" w:rsidRDefault="004E1346" w:rsidP="004E1346">
      <w:pPr>
        <w:tabs>
          <w:tab w:val="left" w:pos="5580"/>
        </w:tabs>
        <w:spacing w:after="0" w:line="240" w:lineRule="auto"/>
        <w:ind w:firstLine="567"/>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Порядок створення, прийняття і відображення у бухгалтерському обліку, а також зберігання первинних документів, регістрів бухгалтерського обліку, бухгалтерської та іншої звітності, що ґрунтується на даних бухгалтерського обліку, встановлено Положенням про документальне забезпечення записів у бухгалтерському обліку, затвердженим наказом Міністерства фінансів України від 24.05.1995 № 88, зареєстрованим в Міністерстві юстиції України 05.06.1995 за № 168/704, зі змінами та доповненнями.</w:t>
      </w:r>
    </w:p>
    <w:p w14:paraId="7FFFE707" w14:textId="2CBFC6CE" w:rsidR="004E1346" w:rsidRDefault="004E1346" w:rsidP="004E1346">
      <w:pPr>
        <w:tabs>
          <w:tab w:val="left" w:pos="5580"/>
        </w:tabs>
        <w:spacing w:after="0" w:line="240" w:lineRule="auto"/>
        <w:jc w:val="both"/>
        <w:rPr>
          <w:rFonts w:ascii="Times New Roman" w:eastAsia="Calibri" w:hAnsi="Times New Roman" w:cs="Times New Roman"/>
          <w:sz w:val="28"/>
          <w:szCs w:val="28"/>
        </w:rPr>
      </w:pPr>
      <w:r w:rsidRPr="004E1346">
        <w:rPr>
          <w:rFonts w:ascii="Times New Roman" w:eastAsia="Calibri" w:hAnsi="Times New Roman" w:cs="Times New Roman"/>
          <w:sz w:val="28"/>
          <w:szCs w:val="28"/>
        </w:rPr>
        <w:t xml:space="preserve">         Отже, з приводу підтвердження первинними документами витрат на суму списаних активів, які були знищені, доцільно звернутись до Міністерства фінансів України.</w:t>
      </w:r>
    </w:p>
    <w:p w14:paraId="33AAAB78" w14:textId="05C70DD5" w:rsidR="002E2B21" w:rsidRPr="004E1346" w:rsidRDefault="002E2B21" w:rsidP="002E2B21">
      <w:pPr>
        <w:tabs>
          <w:tab w:val="left" w:pos="558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Щодо</w:t>
      </w:r>
      <w:r>
        <w:rPr>
          <w:rFonts w:ascii="Times New Roman" w:eastAsia="Calibri" w:hAnsi="Times New Roman" w:cs="Times New Roman"/>
          <w:sz w:val="28"/>
          <w:szCs w:val="28"/>
          <w:lang w:val="en-US"/>
        </w:rPr>
        <w:t xml:space="preserve"> </w:t>
      </w:r>
      <w:r w:rsidR="001C49D6">
        <w:rPr>
          <w:rFonts w:ascii="Times New Roman" w:eastAsia="Calibri" w:hAnsi="Times New Roman" w:cs="Times New Roman"/>
          <w:sz w:val="28"/>
          <w:szCs w:val="28"/>
        </w:rPr>
        <w:t xml:space="preserve">механізму відшкодування збитків від пошкодженого та знищеного майна то повідомляємо, що процедуру </w:t>
      </w:r>
      <w:r w:rsidRPr="004E1346">
        <w:rPr>
          <w:rFonts w:ascii="Times New Roman" w:eastAsia="Calibri" w:hAnsi="Times New Roman" w:cs="Times New Roman"/>
          <w:sz w:val="28"/>
          <w:szCs w:val="28"/>
        </w:rPr>
        <w:t xml:space="preserve">визначення шкоди та збитків, завданих Україні внаслідок збройної агресії російської федерації, </w:t>
      </w:r>
      <w:r>
        <w:rPr>
          <w:rFonts w:ascii="Times New Roman" w:eastAsia="Calibri" w:hAnsi="Times New Roman" w:cs="Times New Roman"/>
          <w:sz w:val="28"/>
          <w:szCs w:val="28"/>
        </w:rPr>
        <w:t xml:space="preserve"> встановлено Порядком, </w:t>
      </w:r>
      <w:r w:rsidRPr="004E1346">
        <w:rPr>
          <w:rFonts w:ascii="Times New Roman" w:eastAsia="Calibri" w:hAnsi="Times New Roman" w:cs="Times New Roman"/>
          <w:sz w:val="28"/>
          <w:szCs w:val="28"/>
        </w:rPr>
        <w:t>затверджени</w:t>
      </w:r>
      <w:r>
        <w:rPr>
          <w:rFonts w:ascii="Times New Roman" w:eastAsia="Calibri" w:hAnsi="Times New Roman" w:cs="Times New Roman"/>
          <w:sz w:val="28"/>
          <w:szCs w:val="28"/>
        </w:rPr>
        <w:t>м</w:t>
      </w:r>
      <w:r w:rsidRPr="004E1346">
        <w:rPr>
          <w:rFonts w:ascii="Times New Roman" w:eastAsia="Calibri" w:hAnsi="Times New Roman" w:cs="Times New Roman"/>
          <w:sz w:val="28"/>
          <w:szCs w:val="28"/>
        </w:rPr>
        <w:t xml:space="preserve"> постановою Кабінету Міністрів України від 20 березня 2022 року № 326 (в редакції постанови Кабінету Міністрів України від 22 липня 2022 року № 951).</w:t>
      </w:r>
    </w:p>
    <w:p w14:paraId="08BEECE3" w14:textId="352CEAE6" w:rsidR="001E1110" w:rsidRPr="001E1110" w:rsidRDefault="001E1110" w:rsidP="00431BAD">
      <w:pPr>
        <w:spacing w:after="0" w:line="240" w:lineRule="auto"/>
        <w:ind w:firstLine="567"/>
        <w:jc w:val="both"/>
        <w:rPr>
          <w:rFonts w:ascii="Times New Roman" w:eastAsia="Times New Roman" w:hAnsi="Times New Roman" w:cs="Times New Roman"/>
          <w:color w:val="000000"/>
          <w:sz w:val="28"/>
          <w:szCs w:val="28"/>
          <w:lang w:eastAsia="uk-UA"/>
        </w:rPr>
      </w:pPr>
      <w:r w:rsidRPr="00431BAD">
        <w:rPr>
          <w:rFonts w:ascii="Times New Roman" w:eastAsia="Times New Roman" w:hAnsi="Times New Roman" w:cs="Times New Roman"/>
          <w:sz w:val="28"/>
          <w:szCs w:val="28"/>
          <w:lang w:eastAsia="uk-UA"/>
        </w:rPr>
        <w:t xml:space="preserve">Індивідуальна податкова консультація має індивідуальний характер і може використовуватися </w:t>
      </w:r>
      <w:r w:rsidRPr="001E1110">
        <w:rPr>
          <w:rFonts w:ascii="Times New Roman" w:eastAsia="Times New Roman" w:hAnsi="Times New Roman" w:cs="Times New Roman"/>
          <w:color w:val="000000"/>
          <w:sz w:val="28"/>
          <w:szCs w:val="28"/>
          <w:lang w:eastAsia="uk-UA"/>
        </w:rPr>
        <w:t>виключно платником податків, якому надано таку консультацію (п. 52.2 ст. 52 Кодексу).</w:t>
      </w:r>
    </w:p>
    <w:sectPr w:rsidR="001E1110" w:rsidRPr="001E1110" w:rsidSect="004B1E67">
      <w:headerReference w:type="default" r:id="rId8"/>
      <w:headerReference w:type="first" r:id="rId9"/>
      <w:pgSz w:w="11906" w:h="16838"/>
      <w:pgMar w:top="284" w:right="707" w:bottom="156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9F28" w14:textId="77777777" w:rsidR="00613C66" w:rsidRDefault="00613C66" w:rsidP="00367D05">
      <w:pPr>
        <w:spacing w:after="0" w:line="240" w:lineRule="auto"/>
      </w:pPr>
      <w:r>
        <w:separator/>
      </w:r>
    </w:p>
  </w:endnote>
  <w:endnote w:type="continuationSeparator" w:id="0">
    <w:p w14:paraId="2957DB94" w14:textId="77777777" w:rsidR="00613C66" w:rsidRDefault="00613C66" w:rsidP="0036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E1877" w14:textId="77777777" w:rsidR="00613C66" w:rsidRDefault="00613C66" w:rsidP="00367D05">
      <w:pPr>
        <w:spacing w:after="0" w:line="240" w:lineRule="auto"/>
      </w:pPr>
      <w:r>
        <w:separator/>
      </w:r>
    </w:p>
  </w:footnote>
  <w:footnote w:type="continuationSeparator" w:id="0">
    <w:p w14:paraId="387ACF15" w14:textId="77777777" w:rsidR="00613C66" w:rsidRDefault="00613C66" w:rsidP="0036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47219"/>
      <w:docPartObj>
        <w:docPartGallery w:val="Page Numbers (Top of Page)"/>
        <w:docPartUnique/>
      </w:docPartObj>
    </w:sdtPr>
    <w:sdtEndPr/>
    <w:sdtContent>
      <w:p w14:paraId="486BA41B" w14:textId="77777777" w:rsidR="00764B5E" w:rsidRDefault="00764B5E">
        <w:pPr>
          <w:pStyle w:val="a7"/>
          <w:jc w:val="center"/>
        </w:pPr>
        <w:r>
          <w:fldChar w:fldCharType="begin"/>
        </w:r>
        <w:r>
          <w:instrText>PAGE   \* MERGEFORMAT</w:instrText>
        </w:r>
        <w:r>
          <w:fldChar w:fldCharType="separate"/>
        </w:r>
        <w:r w:rsidR="005F114E" w:rsidRPr="005F114E">
          <w:rPr>
            <w:noProof/>
            <w:lang w:val="ru-RU"/>
          </w:rPr>
          <w:t>4</w:t>
        </w:r>
        <w:r>
          <w:fldChar w:fldCharType="end"/>
        </w:r>
      </w:p>
    </w:sdtContent>
  </w:sdt>
  <w:p w14:paraId="64837C91" w14:textId="77777777" w:rsidR="00764B5E" w:rsidRDefault="00764B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BFF3" w14:textId="77777777" w:rsidR="00764B5E" w:rsidRDefault="00764B5E">
    <w:pPr>
      <w:pStyle w:val="a7"/>
    </w:pPr>
  </w:p>
  <w:p w14:paraId="103A83C1" w14:textId="77777777" w:rsidR="00764B5E" w:rsidRDefault="00764B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974"/>
    <w:multiLevelType w:val="hybridMultilevel"/>
    <w:tmpl w:val="49C2E6EC"/>
    <w:lvl w:ilvl="0" w:tplc="645484E8">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1" w15:restartNumberingAfterBreak="0">
    <w:nsid w:val="34D17C40"/>
    <w:multiLevelType w:val="hybridMultilevel"/>
    <w:tmpl w:val="9618874A"/>
    <w:lvl w:ilvl="0" w:tplc="7584DD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7AF187A"/>
    <w:multiLevelType w:val="hybridMultilevel"/>
    <w:tmpl w:val="0910206E"/>
    <w:lvl w:ilvl="0" w:tplc="5F1C2E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35"/>
    <w:rsid w:val="00002E08"/>
    <w:rsid w:val="00007E92"/>
    <w:rsid w:val="0001126C"/>
    <w:rsid w:val="00012E01"/>
    <w:rsid w:val="0001684D"/>
    <w:rsid w:val="000263FA"/>
    <w:rsid w:val="00032C5B"/>
    <w:rsid w:val="00034192"/>
    <w:rsid w:val="00040307"/>
    <w:rsid w:val="00047F68"/>
    <w:rsid w:val="00053793"/>
    <w:rsid w:val="00065380"/>
    <w:rsid w:val="00070AC1"/>
    <w:rsid w:val="00071077"/>
    <w:rsid w:val="000728B8"/>
    <w:rsid w:val="00076F5B"/>
    <w:rsid w:val="00080C62"/>
    <w:rsid w:val="00082AC7"/>
    <w:rsid w:val="00083774"/>
    <w:rsid w:val="00091AA8"/>
    <w:rsid w:val="00094EF4"/>
    <w:rsid w:val="00097E5E"/>
    <w:rsid w:val="000A3E5B"/>
    <w:rsid w:val="000A74F6"/>
    <w:rsid w:val="000B3396"/>
    <w:rsid w:val="000B3A11"/>
    <w:rsid w:val="000C5488"/>
    <w:rsid w:val="000C5C2A"/>
    <w:rsid w:val="000E1C04"/>
    <w:rsid w:val="000F3647"/>
    <w:rsid w:val="000F3F99"/>
    <w:rsid w:val="001005E7"/>
    <w:rsid w:val="00100B94"/>
    <w:rsid w:val="001071AF"/>
    <w:rsid w:val="001124CA"/>
    <w:rsid w:val="001175FB"/>
    <w:rsid w:val="001241C5"/>
    <w:rsid w:val="00131D69"/>
    <w:rsid w:val="001415E8"/>
    <w:rsid w:val="00143643"/>
    <w:rsid w:val="00144307"/>
    <w:rsid w:val="001463A6"/>
    <w:rsid w:val="001501AE"/>
    <w:rsid w:val="001557BF"/>
    <w:rsid w:val="00155BA8"/>
    <w:rsid w:val="001609F4"/>
    <w:rsid w:val="00161635"/>
    <w:rsid w:val="001637A2"/>
    <w:rsid w:val="001657C2"/>
    <w:rsid w:val="00166974"/>
    <w:rsid w:val="0017120D"/>
    <w:rsid w:val="001724F7"/>
    <w:rsid w:val="00176A78"/>
    <w:rsid w:val="00183C61"/>
    <w:rsid w:val="00185125"/>
    <w:rsid w:val="001A0ACF"/>
    <w:rsid w:val="001A4825"/>
    <w:rsid w:val="001B3731"/>
    <w:rsid w:val="001C1C46"/>
    <w:rsid w:val="001C49D6"/>
    <w:rsid w:val="001E1110"/>
    <w:rsid w:val="001F0D7C"/>
    <w:rsid w:val="001F2220"/>
    <w:rsid w:val="001F3FEC"/>
    <w:rsid w:val="002064B0"/>
    <w:rsid w:val="00212907"/>
    <w:rsid w:val="002134AC"/>
    <w:rsid w:val="0021441D"/>
    <w:rsid w:val="00220CBA"/>
    <w:rsid w:val="00222C3F"/>
    <w:rsid w:val="002241C6"/>
    <w:rsid w:val="002318D7"/>
    <w:rsid w:val="00233B29"/>
    <w:rsid w:val="00233D36"/>
    <w:rsid w:val="00235AC0"/>
    <w:rsid w:val="00242D2D"/>
    <w:rsid w:val="0024389E"/>
    <w:rsid w:val="002452EB"/>
    <w:rsid w:val="00250AA2"/>
    <w:rsid w:val="00252B89"/>
    <w:rsid w:val="00252FE4"/>
    <w:rsid w:val="00254219"/>
    <w:rsid w:val="00255597"/>
    <w:rsid w:val="00266B45"/>
    <w:rsid w:val="00267207"/>
    <w:rsid w:val="0028099B"/>
    <w:rsid w:val="00286E11"/>
    <w:rsid w:val="00294B21"/>
    <w:rsid w:val="002B0B95"/>
    <w:rsid w:val="002B46A3"/>
    <w:rsid w:val="002B63E0"/>
    <w:rsid w:val="002C11BF"/>
    <w:rsid w:val="002C3762"/>
    <w:rsid w:val="002C74AF"/>
    <w:rsid w:val="002C77F6"/>
    <w:rsid w:val="002D12FF"/>
    <w:rsid w:val="002D370C"/>
    <w:rsid w:val="002D7103"/>
    <w:rsid w:val="002D7DC3"/>
    <w:rsid w:val="002E2B21"/>
    <w:rsid w:val="002E5013"/>
    <w:rsid w:val="002F0541"/>
    <w:rsid w:val="002F6621"/>
    <w:rsid w:val="002F7D9E"/>
    <w:rsid w:val="0030548F"/>
    <w:rsid w:val="00305FF0"/>
    <w:rsid w:val="00312207"/>
    <w:rsid w:val="00320B0B"/>
    <w:rsid w:val="0032422B"/>
    <w:rsid w:val="00324556"/>
    <w:rsid w:val="0033075D"/>
    <w:rsid w:val="00336040"/>
    <w:rsid w:val="00340799"/>
    <w:rsid w:val="00340D8F"/>
    <w:rsid w:val="00345C38"/>
    <w:rsid w:val="00346201"/>
    <w:rsid w:val="003502A8"/>
    <w:rsid w:val="003512FE"/>
    <w:rsid w:val="00366EC1"/>
    <w:rsid w:val="00367D05"/>
    <w:rsid w:val="003709DB"/>
    <w:rsid w:val="003728D6"/>
    <w:rsid w:val="00375DFC"/>
    <w:rsid w:val="00375F59"/>
    <w:rsid w:val="00380518"/>
    <w:rsid w:val="00384FE8"/>
    <w:rsid w:val="0039342A"/>
    <w:rsid w:val="003A699C"/>
    <w:rsid w:val="003A7633"/>
    <w:rsid w:val="003B061E"/>
    <w:rsid w:val="003B2C6E"/>
    <w:rsid w:val="003B784E"/>
    <w:rsid w:val="003C104F"/>
    <w:rsid w:val="003C6247"/>
    <w:rsid w:val="003D3A06"/>
    <w:rsid w:val="003D614C"/>
    <w:rsid w:val="003E1CC2"/>
    <w:rsid w:val="0040383E"/>
    <w:rsid w:val="00407C42"/>
    <w:rsid w:val="00415A5B"/>
    <w:rsid w:val="004220F5"/>
    <w:rsid w:val="00425F0B"/>
    <w:rsid w:val="00431BAD"/>
    <w:rsid w:val="0043277A"/>
    <w:rsid w:val="00436786"/>
    <w:rsid w:val="00437D5B"/>
    <w:rsid w:val="004453C4"/>
    <w:rsid w:val="00456633"/>
    <w:rsid w:val="00457B6D"/>
    <w:rsid w:val="0046361E"/>
    <w:rsid w:val="00475B0F"/>
    <w:rsid w:val="00481586"/>
    <w:rsid w:val="00483D6E"/>
    <w:rsid w:val="00483F0D"/>
    <w:rsid w:val="00493779"/>
    <w:rsid w:val="00497170"/>
    <w:rsid w:val="004A094B"/>
    <w:rsid w:val="004A4A40"/>
    <w:rsid w:val="004B1E67"/>
    <w:rsid w:val="004C17B9"/>
    <w:rsid w:val="004C6105"/>
    <w:rsid w:val="004C6E07"/>
    <w:rsid w:val="004C7639"/>
    <w:rsid w:val="004D3B21"/>
    <w:rsid w:val="004E1346"/>
    <w:rsid w:val="004E3C7F"/>
    <w:rsid w:val="004F41B2"/>
    <w:rsid w:val="00504657"/>
    <w:rsid w:val="0050592A"/>
    <w:rsid w:val="0050620F"/>
    <w:rsid w:val="005148E2"/>
    <w:rsid w:val="00516C83"/>
    <w:rsid w:val="005210B3"/>
    <w:rsid w:val="005257BA"/>
    <w:rsid w:val="00535E30"/>
    <w:rsid w:val="00546759"/>
    <w:rsid w:val="00547C57"/>
    <w:rsid w:val="00554395"/>
    <w:rsid w:val="00555116"/>
    <w:rsid w:val="00561C7E"/>
    <w:rsid w:val="005639AA"/>
    <w:rsid w:val="00567E1D"/>
    <w:rsid w:val="00571318"/>
    <w:rsid w:val="00571DB1"/>
    <w:rsid w:val="00585311"/>
    <w:rsid w:val="00585316"/>
    <w:rsid w:val="00587682"/>
    <w:rsid w:val="0059014D"/>
    <w:rsid w:val="005A0C12"/>
    <w:rsid w:val="005A2D03"/>
    <w:rsid w:val="005A4880"/>
    <w:rsid w:val="005A6DF2"/>
    <w:rsid w:val="005A7DD3"/>
    <w:rsid w:val="005B0F91"/>
    <w:rsid w:val="005B3315"/>
    <w:rsid w:val="005B45AF"/>
    <w:rsid w:val="005B6F1D"/>
    <w:rsid w:val="005D2128"/>
    <w:rsid w:val="005D4830"/>
    <w:rsid w:val="005D6CBE"/>
    <w:rsid w:val="005D70F8"/>
    <w:rsid w:val="005E0941"/>
    <w:rsid w:val="005E33E9"/>
    <w:rsid w:val="005E423F"/>
    <w:rsid w:val="005F114E"/>
    <w:rsid w:val="005F5EBB"/>
    <w:rsid w:val="005F6945"/>
    <w:rsid w:val="00613C66"/>
    <w:rsid w:val="006300A1"/>
    <w:rsid w:val="00634894"/>
    <w:rsid w:val="006441F0"/>
    <w:rsid w:val="006453D3"/>
    <w:rsid w:val="00651BA3"/>
    <w:rsid w:val="00656E0E"/>
    <w:rsid w:val="006635F5"/>
    <w:rsid w:val="00663AC0"/>
    <w:rsid w:val="006644E0"/>
    <w:rsid w:val="00664900"/>
    <w:rsid w:val="00673421"/>
    <w:rsid w:val="00681825"/>
    <w:rsid w:val="00685B57"/>
    <w:rsid w:val="006860F3"/>
    <w:rsid w:val="00693001"/>
    <w:rsid w:val="006A33DC"/>
    <w:rsid w:val="006A6B7E"/>
    <w:rsid w:val="006B1401"/>
    <w:rsid w:val="006B3AE1"/>
    <w:rsid w:val="006B74DD"/>
    <w:rsid w:val="006C0459"/>
    <w:rsid w:val="006C23AA"/>
    <w:rsid w:val="006D23E1"/>
    <w:rsid w:val="006D5CD8"/>
    <w:rsid w:val="006D6CCA"/>
    <w:rsid w:val="006D6D0B"/>
    <w:rsid w:val="006E3A73"/>
    <w:rsid w:val="006E438E"/>
    <w:rsid w:val="006E708B"/>
    <w:rsid w:val="006F5A87"/>
    <w:rsid w:val="00701739"/>
    <w:rsid w:val="007025DC"/>
    <w:rsid w:val="0070448B"/>
    <w:rsid w:val="0071316E"/>
    <w:rsid w:val="0071429A"/>
    <w:rsid w:val="0072096C"/>
    <w:rsid w:val="00734EDA"/>
    <w:rsid w:val="007510AD"/>
    <w:rsid w:val="00761E40"/>
    <w:rsid w:val="00764B5E"/>
    <w:rsid w:val="007748C1"/>
    <w:rsid w:val="00774C70"/>
    <w:rsid w:val="00774E77"/>
    <w:rsid w:val="007771B2"/>
    <w:rsid w:val="00780B34"/>
    <w:rsid w:val="00790CEF"/>
    <w:rsid w:val="00790F0F"/>
    <w:rsid w:val="00794BA1"/>
    <w:rsid w:val="007A36D5"/>
    <w:rsid w:val="007B0FB9"/>
    <w:rsid w:val="007B57A0"/>
    <w:rsid w:val="007B758A"/>
    <w:rsid w:val="007C0BF0"/>
    <w:rsid w:val="007D3C72"/>
    <w:rsid w:val="007D5C76"/>
    <w:rsid w:val="007E0747"/>
    <w:rsid w:val="007E14EA"/>
    <w:rsid w:val="007E1E5C"/>
    <w:rsid w:val="007E238D"/>
    <w:rsid w:val="007E56B3"/>
    <w:rsid w:val="007E589B"/>
    <w:rsid w:val="007E5C0F"/>
    <w:rsid w:val="007F57A6"/>
    <w:rsid w:val="007F6AFF"/>
    <w:rsid w:val="00801E4E"/>
    <w:rsid w:val="00802E0B"/>
    <w:rsid w:val="008032B4"/>
    <w:rsid w:val="0080437F"/>
    <w:rsid w:val="00805D35"/>
    <w:rsid w:val="0081250E"/>
    <w:rsid w:val="008148AA"/>
    <w:rsid w:val="00814F37"/>
    <w:rsid w:val="00825282"/>
    <w:rsid w:val="00827EBA"/>
    <w:rsid w:val="00833FA2"/>
    <w:rsid w:val="00835194"/>
    <w:rsid w:val="0084125E"/>
    <w:rsid w:val="00844176"/>
    <w:rsid w:val="00844417"/>
    <w:rsid w:val="00857809"/>
    <w:rsid w:val="00860279"/>
    <w:rsid w:val="008661BB"/>
    <w:rsid w:val="008714D6"/>
    <w:rsid w:val="008842DA"/>
    <w:rsid w:val="008875DB"/>
    <w:rsid w:val="008879E3"/>
    <w:rsid w:val="00890BE0"/>
    <w:rsid w:val="008B56CF"/>
    <w:rsid w:val="008B7D2B"/>
    <w:rsid w:val="008B7DD6"/>
    <w:rsid w:val="008C1329"/>
    <w:rsid w:val="008C6C6C"/>
    <w:rsid w:val="008C7723"/>
    <w:rsid w:val="008D7245"/>
    <w:rsid w:val="008E06F6"/>
    <w:rsid w:val="008E3FCC"/>
    <w:rsid w:val="008E60C6"/>
    <w:rsid w:val="008F6A53"/>
    <w:rsid w:val="0090013E"/>
    <w:rsid w:val="00904402"/>
    <w:rsid w:val="00906204"/>
    <w:rsid w:val="00912A57"/>
    <w:rsid w:val="00915E62"/>
    <w:rsid w:val="00920D7E"/>
    <w:rsid w:val="00923A8B"/>
    <w:rsid w:val="00931225"/>
    <w:rsid w:val="009345D1"/>
    <w:rsid w:val="009360D6"/>
    <w:rsid w:val="0093766B"/>
    <w:rsid w:val="00941023"/>
    <w:rsid w:val="00950EB6"/>
    <w:rsid w:val="00951C33"/>
    <w:rsid w:val="009523A7"/>
    <w:rsid w:val="0095285C"/>
    <w:rsid w:val="00955E79"/>
    <w:rsid w:val="00955F7E"/>
    <w:rsid w:val="0096209E"/>
    <w:rsid w:val="00963D85"/>
    <w:rsid w:val="00965E59"/>
    <w:rsid w:val="00985363"/>
    <w:rsid w:val="00990005"/>
    <w:rsid w:val="00995F55"/>
    <w:rsid w:val="009B0993"/>
    <w:rsid w:val="009B569A"/>
    <w:rsid w:val="009C05F7"/>
    <w:rsid w:val="009C1264"/>
    <w:rsid w:val="009C1ECC"/>
    <w:rsid w:val="009C263B"/>
    <w:rsid w:val="009C298A"/>
    <w:rsid w:val="009C4457"/>
    <w:rsid w:val="009D0716"/>
    <w:rsid w:val="009D5628"/>
    <w:rsid w:val="009E13D7"/>
    <w:rsid w:val="009F54D3"/>
    <w:rsid w:val="009F5885"/>
    <w:rsid w:val="009F789F"/>
    <w:rsid w:val="00A0298C"/>
    <w:rsid w:val="00A0379C"/>
    <w:rsid w:val="00A12B27"/>
    <w:rsid w:val="00A13379"/>
    <w:rsid w:val="00A15200"/>
    <w:rsid w:val="00A3168C"/>
    <w:rsid w:val="00A33B83"/>
    <w:rsid w:val="00A44BD2"/>
    <w:rsid w:val="00A4519A"/>
    <w:rsid w:val="00A4553C"/>
    <w:rsid w:val="00A45DCF"/>
    <w:rsid w:val="00A5146B"/>
    <w:rsid w:val="00A5228C"/>
    <w:rsid w:val="00A568C9"/>
    <w:rsid w:val="00A620D6"/>
    <w:rsid w:val="00A6586F"/>
    <w:rsid w:val="00A663CC"/>
    <w:rsid w:val="00A67BD4"/>
    <w:rsid w:val="00A710B9"/>
    <w:rsid w:val="00A81F55"/>
    <w:rsid w:val="00A8631B"/>
    <w:rsid w:val="00A9073E"/>
    <w:rsid w:val="00A91CC6"/>
    <w:rsid w:val="00A97AE3"/>
    <w:rsid w:val="00AA67F9"/>
    <w:rsid w:val="00AB0C29"/>
    <w:rsid w:val="00AB38F1"/>
    <w:rsid w:val="00AB50FC"/>
    <w:rsid w:val="00AB6924"/>
    <w:rsid w:val="00AC1E1D"/>
    <w:rsid w:val="00AC2EE7"/>
    <w:rsid w:val="00AC4C72"/>
    <w:rsid w:val="00AC776F"/>
    <w:rsid w:val="00AD065A"/>
    <w:rsid w:val="00AD62A1"/>
    <w:rsid w:val="00AD6994"/>
    <w:rsid w:val="00AD7A10"/>
    <w:rsid w:val="00AE5714"/>
    <w:rsid w:val="00AF173C"/>
    <w:rsid w:val="00AF1A90"/>
    <w:rsid w:val="00AF4591"/>
    <w:rsid w:val="00AF7F1D"/>
    <w:rsid w:val="00B02B20"/>
    <w:rsid w:val="00B10E2E"/>
    <w:rsid w:val="00B168D4"/>
    <w:rsid w:val="00B248DC"/>
    <w:rsid w:val="00B31ACF"/>
    <w:rsid w:val="00B321CE"/>
    <w:rsid w:val="00B326E4"/>
    <w:rsid w:val="00B3497F"/>
    <w:rsid w:val="00B4486E"/>
    <w:rsid w:val="00B735CD"/>
    <w:rsid w:val="00B739C8"/>
    <w:rsid w:val="00B92200"/>
    <w:rsid w:val="00B926A7"/>
    <w:rsid w:val="00B94768"/>
    <w:rsid w:val="00BA5F8E"/>
    <w:rsid w:val="00BC5184"/>
    <w:rsid w:val="00BC6454"/>
    <w:rsid w:val="00BD1F68"/>
    <w:rsid w:val="00BD2B5A"/>
    <w:rsid w:val="00BD4480"/>
    <w:rsid w:val="00BD6F85"/>
    <w:rsid w:val="00BE2269"/>
    <w:rsid w:val="00BE7F3E"/>
    <w:rsid w:val="00BF1A7B"/>
    <w:rsid w:val="00BF49AC"/>
    <w:rsid w:val="00BF7D84"/>
    <w:rsid w:val="00C10225"/>
    <w:rsid w:val="00C1236C"/>
    <w:rsid w:val="00C131A1"/>
    <w:rsid w:val="00C24EC7"/>
    <w:rsid w:val="00C25022"/>
    <w:rsid w:val="00C26FCD"/>
    <w:rsid w:val="00C321E6"/>
    <w:rsid w:val="00C33846"/>
    <w:rsid w:val="00C34EE3"/>
    <w:rsid w:val="00C4005F"/>
    <w:rsid w:val="00C4541E"/>
    <w:rsid w:val="00C47C3A"/>
    <w:rsid w:val="00C50EC7"/>
    <w:rsid w:val="00C51ED3"/>
    <w:rsid w:val="00C67217"/>
    <w:rsid w:val="00C7340F"/>
    <w:rsid w:val="00C802D8"/>
    <w:rsid w:val="00C85244"/>
    <w:rsid w:val="00C938DC"/>
    <w:rsid w:val="00C942CF"/>
    <w:rsid w:val="00C96503"/>
    <w:rsid w:val="00CA22AB"/>
    <w:rsid w:val="00CA3B5A"/>
    <w:rsid w:val="00CA41CE"/>
    <w:rsid w:val="00CB4453"/>
    <w:rsid w:val="00CB6F4B"/>
    <w:rsid w:val="00CC0A24"/>
    <w:rsid w:val="00CD3CF4"/>
    <w:rsid w:val="00CD75DB"/>
    <w:rsid w:val="00CF0E3B"/>
    <w:rsid w:val="00CF0EE9"/>
    <w:rsid w:val="00CF78BE"/>
    <w:rsid w:val="00D02C64"/>
    <w:rsid w:val="00D06AFB"/>
    <w:rsid w:val="00D06C27"/>
    <w:rsid w:val="00D07BDB"/>
    <w:rsid w:val="00D13309"/>
    <w:rsid w:val="00D1445C"/>
    <w:rsid w:val="00D1447C"/>
    <w:rsid w:val="00D14771"/>
    <w:rsid w:val="00D14F1B"/>
    <w:rsid w:val="00D15471"/>
    <w:rsid w:val="00D2058A"/>
    <w:rsid w:val="00D217EC"/>
    <w:rsid w:val="00D22137"/>
    <w:rsid w:val="00D22176"/>
    <w:rsid w:val="00D22C3B"/>
    <w:rsid w:val="00D26B75"/>
    <w:rsid w:val="00D27316"/>
    <w:rsid w:val="00D27841"/>
    <w:rsid w:val="00D27981"/>
    <w:rsid w:val="00D301AE"/>
    <w:rsid w:val="00D340A5"/>
    <w:rsid w:val="00D44B52"/>
    <w:rsid w:val="00D52283"/>
    <w:rsid w:val="00D52287"/>
    <w:rsid w:val="00D536DC"/>
    <w:rsid w:val="00D63DA0"/>
    <w:rsid w:val="00D66614"/>
    <w:rsid w:val="00D74CAC"/>
    <w:rsid w:val="00D8556F"/>
    <w:rsid w:val="00DA4835"/>
    <w:rsid w:val="00DB02C2"/>
    <w:rsid w:val="00DD55AC"/>
    <w:rsid w:val="00DF2F0C"/>
    <w:rsid w:val="00E00C70"/>
    <w:rsid w:val="00E031BA"/>
    <w:rsid w:val="00E05016"/>
    <w:rsid w:val="00E07D87"/>
    <w:rsid w:val="00E22F14"/>
    <w:rsid w:val="00E23B5D"/>
    <w:rsid w:val="00E244F9"/>
    <w:rsid w:val="00E2599D"/>
    <w:rsid w:val="00E333E3"/>
    <w:rsid w:val="00E340ED"/>
    <w:rsid w:val="00E4753C"/>
    <w:rsid w:val="00E47567"/>
    <w:rsid w:val="00E509B7"/>
    <w:rsid w:val="00E5181D"/>
    <w:rsid w:val="00E558B9"/>
    <w:rsid w:val="00E5594C"/>
    <w:rsid w:val="00E55BBF"/>
    <w:rsid w:val="00E63F3F"/>
    <w:rsid w:val="00E65ADC"/>
    <w:rsid w:val="00E71F5E"/>
    <w:rsid w:val="00E73283"/>
    <w:rsid w:val="00E77200"/>
    <w:rsid w:val="00E80363"/>
    <w:rsid w:val="00E85AD1"/>
    <w:rsid w:val="00E85CA0"/>
    <w:rsid w:val="00E8632D"/>
    <w:rsid w:val="00E878E5"/>
    <w:rsid w:val="00E97112"/>
    <w:rsid w:val="00E97A40"/>
    <w:rsid w:val="00E97C74"/>
    <w:rsid w:val="00EB1644"/>
    <w:rsid w:val="00EB6EA3"/>
    <w:rsid w:val="00EB70C3"/>
    <w:rsid w:val="00EC0FCB"/>
    <w:rsid w:val="00EC6835"/>
    <w:rsid w:val="00ED3907"/>
    <w:rsid w:val="00ED61FF"/>
    <w:rsid w:val="00EE1667"/>
    <w:rsid w:val="00EE420A"/>
    <w:rsid w:val="00EE6853"/>
    <w:rsid w:val="00EE7B3B"/>
    <w:rsid w:val="00EF228A"/>
    <w:rsid w:val="00EF3DE7"/>
    <w:rsid w:val="00EF5723"/>
    <w:rsid w:val="00F0237B"/>
    <w:rsid w:val="00F0477F"/>
    <w:rsid w:val="00F15EB4"/>
    <w:rsid w:val="00F25B19"/>
    <w:rsid w:val="00F3445B"/>
    <w:rsid w:val="00F37797"/>
    <w:rsid w:val="00F40C2A"/>
    <w:rsid w:val="00F42AB4"/>
    <w:rsid w:val="00F442DF"/>
    <w:rsid w:val="00F461C5"/>
    <w:rsid w:val="00F47A36"/>
    <w:rsid w:val="00F52C6D"/>
    <w:rsid w:val="00F6634F"/>
    <w:rsid w:val="00F670EE"/>
    <w:rsid w:val="00F713CA"/>
    <w:rsid w:val="00F7520C"/>
    <w:rsid w:val="00F863EE"/>
    <w:rsid w:val="00F86FD3"/>
    <w:rsid w:val="00F874EB"/>
    <w:rsid w:val="00F87B30"/>
    <w:rsid w:val="00F95B63"/>
    <w:rsid w:val="00FB15BC"/>
    <w:rsid w:val="00FB1DB5"/>
    <w:rsid w:val="00FB5A48"/>
    <w:rsid w:val="00FC2D0F"/>
    <w:rsid w:val="00FC5A57"/>
    <w:rsid w:val="00FD37A4"/>
    <w:rsid w:val="00FD7774"/>
    <w:rsid w:val="00FE0454"/>
    <w:rsid w:val="00FE2AAB"/>
    <w:rsid w:val="00FF1D41"/>
    <w:rsid w:val="00FF3ACF"/>
    <w:rsid w:val="00FF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BA07"/>
  <w15:docId w15:val="{B27FFD14-BB88-43A5-89C7-98BE3834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76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C3762"/>
    <w:pPr>
      <w:spacing w:after="0" w:line="240" w:lineRule="auto"/>
    </w:pPr>
    <w:rPr>
      <w:rFonts w:ascii="Times New Roman" w:eastAsia="Calibri" w:hAnsi="Times New Roman" w:cs="Times New Roman"/>
      <w:sz w:val="24"/>
      <w:lang w:eastAsia="ru-RU"/>
    </w:rPr>
  </w:style>
  <w:style w:type="character" w:customStyle="1" w:styleId="a4">
    <w:name w:val="Без інтервалів Знак"/>
    <w:link w:val="a3"/>
    <w:locked/>
    <w:rsid w:val="002C3762"/>
    <w:rPr>
      <w:rFonts w:ascii="Times New Roman" w:eastAsia="Calibri" w:hAnsi="Times New Roman" w:cs="Times New Roman"/>
      <w:sz w:val="24"/>
      <w:lang w:eastAsia="ru-RU"/>
    </w:rPr>
  </w:style>
  <w:style w:type="character" w:customStyle="1" w:styleId="apple-converted-space">
    <w:name w:val="apple-converted-space"/>
    <w:basedOn w:val="a0"/>
    <w:rsid w:val="002C3762"/>
  </w:style>
  <w:style w:type="character" w:customStyle="1" w:styleId="value">
    <w:name w:val="value"/>
    <w:basedOn w:val="a0"/>
    <w:rsid w:val="002C3762"/>
  </w:style>
  <w:style w:type="paragraph" w:styleId="a5">
    <w:name w:val="Balloon Text"/>
    <w:basedOn w:val="a"/>
    <w:link w:val="a6"/>
    <w:uiPriority w:val="99"/>
    <w:semiHidden/>
    <w:unhideWhenUsed/>
    <w:rsid w:val="0040383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0383E"/>
    <w:rPr>
      <w:rFonts w:ascii="Tahoma" w:hAnsi="Tahoma" w:cs="Tahoma"/>
      <w:sz w:val="16"/>
      <w:szCs w:val="16"/>
    </w:rPr>
  </w:style>
  <w:style w:type="paragraph" w:styleId="a7">
    <w:name w:val="header"/>
    <w:basedOn w:val="a"/>
    <w:link w:val="a8"/>
    <w:uiPriority w:val="99"/>
    <w:unhideWhenUsed/>
    <w:rsid w:val="00367D0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367D05"/>
    <w:rPr>
      <w:lang w:val="uk-UA"/>
    </w:rPr>
  </w:style>
  <w:style w:type="paragraph" w:styleId="a9">
    <w:name w:val="footer"/>
    <w:basedOn w:val="a"/>
    <w:link w:val="aa"/>
    <w:uiPriority w:val="99"/>
    <w:unhideWhenUsed/>
    <w:rsid w:val="00367D0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367D05"/>
    <w:rPr>
      <w:lang w:val="uk-UA"/>
    </w:rPr>
  </w:style>
  <w:style w:type="paragraph" w:styleId="ab">
    <w:name w:val="List Paragraph"/>
    <w:basedOn w:val="a"/>
    <w:uiPriority w:val="34"/>
    <w:qFormat/>
    <w:rsid w:val="0001126C"/>
    <w:pPr>
      <w:ind w:left="720"/>
      <w:contextualSpacing/>
    </w:pPr>
  </w:style>
  <w:style w:type="character" w:styleId="ac">
    <w:name w:val="Hyperlink"/>
    <w:basedOn w:val="a0"/>
    <w:uiPriority w:val="99"/>
    <w:unhideWhenUsed/>
    <w:rsid w:val="009D0716"/>
    <w:rPr>
      <w:color w:val="0000FF" w:themeColor="hyperlink"/>
      <w:u w:val="single"/>
    </w:rPr>
  </w:style>
  <w:style w:type="character" w:customStyle="1" w:styleId="1">
    <w:name w:val="Незакрита згадка1"/>
    <w:basedOn w:val="a0"/>
    <w:uiPriority w:val="99"/>
    <w:semiHidden/>
    <w:unhideWhenUsed/>
    <w:rsid w:val="009D0716"/>
    <w:rPr>
      <w:color w:val="605E5C"/>
      <w:shd w:val="clear" w:color="auto" w:fill="E1DFDD"/>
    </w:rPr>
  </w:style>
  <w:style w:type="paragraph" w:customStyle="1" w:styleId="rvps2">
    <w:name w:val="rvps2"/>
    <w:basedOn w:val="a"/>
    <w:rsid w:val="00D74CAC"/>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8D7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35E30"/>
  </w:style>
  <w:style w:type="paragraph" w:customStyle="1" w:styleId="CharChar">
    <w:name w:val="Char Знак Знак Char Знак Знак Знак Знак Знак Знак Знак Знак Знак Знак Знак Знак Знак Знак"/>
    <w:basedOn w:val="a"/>
    <w:rsid w:val="005257B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633">
      <w:bodyDiv w:val="1"/>
      <w:marLeft w:val="0"/>
      <w:marRight w:val="0"/>
      <w:marTop w:val="0"/>
      <w:marBottom w:val="0"/>
      <w:divBdr>
        <w:top w:val="none" w:sz="0" w:space="0" w:color="auto"/>
        <w:left w:val="none" w:sz="0" w:space="0" w:color="auto"/>
        <w:bottom w:val="none" w:sz="0" w:space="0" w:color="auto"/>
        <w:right w:val="none" w:sz="0" w:space="0" w:color="auto"/>
      </w:divBdr>
    </w:div>
    <w:div w:id="229078827">
      <w:bodyDiv w:val="1"/>
      <w:marLeft w:val="0"/>
      <w:marRight w:val="0"/>
      <w:marTop w:val="0"/>
      <w:marBottom w:val="0"/>
      <w:divBdr>
        <w:top w:val="none" w:sz="0" w:space="0" w:color="auto"/>
        <w:left w:val="none" w:sz="0" w:space="0" w:color="auto"/>
        <w:bottom w:val="none" w:sz="0" w:space="0" w:color="auto"/>
        <w:right w:val="none" w:sz="0" w:space="0" w:color="auto"/>
      </w:divBdr>
    </w:div>
    <w:div w:id="250898105">
      <w:bodyDiv w:val="1"/>
      <w:marLeft w:val="0"/>
      <w:marRight w:val="0"/>
      <w:marTop w:val="0"/>
      <w:marBottom w:val="0"/>
      <w:divBdr>
        <w:top w:val="none" w:sz="0" w:space="0" w:color="auto"/>
        <w:left w:val="none" w:sz="0" w:space="0" w:color="auto"/>
        <w:bottom w:val="none" w:sz="0" w:space="0" w:color="auto"/>
        <w:right w:val="none" w:sz="0" w:space="0" w:color="auto"/>
      </w:divBdr>
    </w:div>
    <w:div w:id="536507252">
      <w:bodyDiv w:val="1"/>
      <w:marLeft w:val="0"/>
      <w:marRight w:val="0"/>
      <w:marTop w:val="0"/>
      <w:marBottom w:val="0"/>
      <w:divBdr>
        <w:top w:val="none" w:sz="0" w:space="0" w:color="auto"/>
        <w:left w:val="none" w:sz="0" w:space="0" w:color="auto"/>
        <w:bottom w:val="none" w:sz="0" w:space="0" w:color="auto"/>
        <w:right w:val="none" w:sz="0" w:space="0" w:color="auto"/>
      </w:divBdr>
    </w:div>
    <w:div w:id="612982866">
      <w:bodyDiv w:val="1"/>
      <w:marLeft w:val="0"/>
      <w:marRight w:val="0"/>
      <w:marTop w:val="0"/>
      <w:marBottom w:val="0"/>
      <w:divBdr>
        <w:top w:val="none" w:sz="0" w:space="0" w:color="auto"/>
        <w:left w:val="none" w:sz="0" w:space="0" w:color="auto"/>
        <w:bottom w:val="none" w:sz="0" w:space="0" w:color="auto"/>
        <w:right w:val="none" w:sz="0" w:space="0" w:color="auto"/>
      </w:divBdr>
    </w:div>
    <w:div w:id="913512083">
      <w:bodyDiv w:val="1"/>
      <w:marLeft w:val="0"/>
      <w:marRight w:val="0"/>
      <w:marTop w:val="0"/>
      <w:marBottom w:val="0"/>
      <w:divBdr>
        <w:top w:val="none" w:sz="0" w:space="0" w:color="auto"/>
        <w:left w:val="none" w:sz="0" w:space="0" w:color="auto"/>
        <w:bottom w:val="none" w:sz="0" w:space="0" w:color="auto"/>
        <w:right w:val="none" w:sz="0" w:space="0" w:color="auto"/>
      </w:divBdr>
    </w:div>
    <w:div w:id="929701659">
      <w:bodyDiv w:val="1"/>
      <w:marLeft w:val="0"/>
      <w:marRight w:val="0"/>
      <w:marTop w:val="0"/>
      <w:marBottom w:val="0"/>
      <w:divBdr>
        <w:top w:val="none" w:sz="0" w:space="0" w:color="auto"/>
        <w:left w:val="none" w:sz="0" w:space="0" w:color="auto"/>
        <w:bottom w:val="none" w:sz="0" w:space="0" w:color="auto"/>
        <w:right w:val="none" w:sz="0" w:space="0" w:color="auto"/>
      </w:divBdr>
    </w:div>
    <w:div w:id="1231305516">
      <w:bodyDiv w:val="1"/>
      <w:marLeft w:val="0"/>
      <w:marRight w:val="0"/>
      <w:marTop w:val="0"/>
      <w:marBottom w:val="0"/>
      <w:divBdr>
        <w:top w:val="none" w:sz="0" w:space="0" w:color="auto"/>
        <w:left w:val="none" w:sz="0" w:space="0" w:color="auto"/>
        <w:bottom w:val="none" w:sz="0" w:space="0" w:color="auto"/>
        <w:right w:val="none" w:sz="0" w:space="0" w:color="auto"/>
      </w:divBdr>
    </w:div>
    <w:div w:id="1678078316">
      <w:bodyDiv w:val="1"/>
      <w:marLeft w:val="0"/>
      <w:marRight w:val="0"/>
      <w:marTop w:val="0"/>
      <w:marBottom w:val="0"/>
      <w:divBdr>
        <w:top w:val="none" w:sz="0" w:space="0" w:color="auto"/>
        <w:left w:val="none" w:sz="0" w:space="0" w:color="auto"/>
        <w:bottom w:val="none" w:sz="0" w:space="0" w:color="auto"/>
        <w:right w:val="none" w:sz="0" w:space="0" w:color="auto"/>
      </w:divBdr>
    </w:div>
    <w:div w:id="16791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DB5F-12CA-4E23-99BB-2F5A6590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5212</Words>
  <Characters>2971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Д.</dc:creator>
  <cp:lastModifiedBy>ЗАГОРОДНЮК НАТАЛІЯ ВОЛОДИМИРІВНА</cp:lastModifiedBy>
  <cp:revision>2</cp:revision>
  <cp:lastPrinted>2026-04-02T12:31:00Z</cp:lastPrinted>
  <dcterms:created xsi:type="dcterms:W3CDTF">2026-04-03T10:20:00Z</dcterms:created>
  <dcterms:modified xsi:type="dcterms:W3CDTF">2026-04-03T10:20:00Z</dcterms:modified>
</cp:coreProperties>
</file>