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332FC" w14:textId="77777777" w:rsidR="00DD0F87" w:rsidRPr="005A5E66" w:rsidRDefault="00DD0F87" w:rsidP="005A5E66">
      <w:pPr>
        <w:ind w:left="5103"/>
        <w:jc w:val="both"/>
        <w:rPr>
          <w:sz w:val="28"/>
          <w:szCs w:val="28"/>
          <w:lang w:val="uk-UA"/>
        </w:rPr>
      </w:pPr>
    </w:p>
    <w:p w14:paraId="34BF9A95" w14:textId="77777777" w:rsidR="00DD0F87" w:rsidRPr="005A5E66" w:rsidRDefault="00DD0F87" w:rsidP="005A5E66">
      <w:pPr>
        <w:ind w:left="5103"/>
        <w:jc w:val="both"/>
        <w:rPr>
          <w:sz w:val="28"/>
          <w:szCs w:val="28"/>
          <w:lang w:val="uk-UA"/>
        </w:rPr>
      </w:pPr>
    </w:p>
    <w:p w14:paraId="74D4BE3F" w14:textId="77777777" w:rsidR="00DD0F87" w:rsidRPr="005A5E66" w:rsidRDefault="00DD0F87" w:rsidP="005A5E66">
      <w:pPr>
        <w:ind w:left="5103"/>
        <w:jc w:val="both"/>
        <w:rPr>
          <w:sz w:val="28"/>
          <w:szCs w:val="28"/>
          <w:lang w:val="uk-UA"/>
        </w:rPr>
      </w:pPr>
    </w:p>
    <w:p w14:paraId="51C2DC54" w14:textId="77777777" w:rsidR="00DD0F87" w:rsidRPr="005A5E66" w:rsidRDefault="00DD0F87" w:rsidP="005A5E66">
      <w:pPr>
        <w:ind w:left="5103"/>
        <w:jc w:val="both"/>
        <w:rPr>
          <w:sz w:val="28"/>
          <w:szCs w:val="28"/>
          <w:lang w:val="uk-UA"/>
        </w:rPr>
      </w:pPr>
    </w:p>
    <w:p w14:paraId="6EF5231D" w14:textId="77777777" w:rsidR="00DD0F87" w:rsidRPr="005A5E66" w:rsidRDefault="00DD0F87" w:rsidP="005A5E66">
      <w:pPr>
        <w:ind w:left="5103"/>
        <w:jc w:val="both"/>
        <w:rPr>
          <w:sz w:val="28"/>
          <w:szCs w:val="28"/>
          <w:lang w:val="uk-UA"/>
        </w:rPr>
      </w:pPr>
    </w:p>
    <w:p w14:paraId="3651DFF6" w14:textId="77777777" w:rsidR="00DD0F87" w:rsidRPr="005A5E66" w:rsidRDefault="00DD0F87" w:rsidP="005A5E66">
      <w:pPr>
        <w:ind w:left="5103"/>
        <w:jc w:val="both"/>
        <w:rPr>
          <w:sz w:val="28"/>
          <w:szCs w:val="28"/>
          <w:lang w:val="uk-UA"/>
        </w:rPr>
      </w:pPr>
    </w:p>
    <w:p w14:paraId="5613F69B" w14:textId="77777777" w:rsidR="00DD0F87" w:rsidRPr="005A5E66" w:rsidRDefault="00DD0F87" w:rsidP="005A5E66">
      <w:pPr>
        <w:ind w:left="5103"/>
        <w:jc w:val="both"/>
        <w:rPr>
          <w:sz w:val="28"/>
          <w:szCs w:val="28"/>
          <w:lang w:val="uk-UA"/>
        </w:rPr>
      </w:pPr>
    </w:p>
    <w:p w14:paraId="30A913DF" w14:textId="77777777" w:rsidR="00DD0F87" w:rsidRPr="005A5E66" w:rsidRDefault="00DD0F87" w:rsidP="005A5E66">
      <w:pPr>
        <w:ind w:left="5103"/>
        <w:jc w:val="both"/>
        <w:rPr>
          <w:sz w:val="28"/>
          <w:szCs w:val="28"/>
          <w:lang w:val="uk-UA"/>
        </w:rPr>
      </w:pPr>
    </w:p>
    <w:p w14:paraId="0C3D2E7E" w14:textId="77777777" w:rsidR="00DD0F87" w:rsidRPr="005A5E66" w:rsidRDefault="00DD0F87" w:rsidP="005A5E66">
      <w:pPr>
        <w:ind w:left="5103"/>
        <w:jc w:val="both"/>
        <w:rPr>
          <w:sz w:val="28"/>
          <w:szCs w:val="28"/>
          <w:lang w:val="uk-UA"/>
        </w:rPr>
      </w:pPr>
    </w:p>
    <w:p w14:paraId="414D49A9" w14:textId="77777777" w:rsidR="00DD0F87" w:rsidRPr="005A5E66" w:rsidRDefault="00DD0F87" w:rsidP="005A5E66">
      <w:pPr>
        <w:ind w:left="5103"/>
        <w:jc w:val="both"/>
        <w:rPr>
          <w:sz w:val="28"/>
          <w:szCs w:val="28"/>
          <w:lang w:val="uk-UA"/>
        </w:rPr>
      </w:pPr>
    </w:p>
    <w:p w14:paraId="6D5B034C" w14:textId="77777777" w:rsidR="00DD0F87" w:rsidRPr="005A5E66" w:rsidRDefault="00DD0F87" w:rsidP="005A5E66">
      <w:pPr>
        <w:ind w:left="5103"/>
        <w:jc w:val="both"/>
        <w:rPr>
          <w:sz w:val="28"/>
          <w:szCs w:val="28"/>
          <w:lang w:val="uk-UA"/>
        </w:rPr>
      </w:pPr>
    </w:p>
    <w:p w14:paraId="1D1F72EC" w14:textId="77777777" w:rsidR="00EE5EC4" w:rsidRDefault="00EE5EC4" w:rsidP="005A5E66">
      <w:pPr>
        <w:ind w:left="284" w:right="-284" w:firstLine="567"/>
        <w:contextualSpacing/>
        <w:jc w:val="center"/>
        <w:rPr>
          <w:sz w:val="28"/>
          <w:szCs w:val="28"/>
          <w:lang w:val="uk-UA"/>
        </w:rPr>
      </w:pPr>
    </w:p>
    <w:p w14:paraId="40619E7F" w14:textId="77777777" w:rsidR="00EE5EC4" w:rsidRDefault="00EE5EC4" w:rsidP="005A5E66">
      <w:pPr>
        <w:ind w:left="284" w:right="-284" w:firstLine="567"/>
        <w:contextualSpacing/>
        <w:jc w:val="center"/>
        <w:rPr>
          <w:sz w:val="28"/>
          <w:szCs w:val="28"/>
          <w:lang w:val="uk-UA"/>
        </w:rPr>
      </w:pPr>
    </w:p>
    <w:p w14:paraId="324CC9EC" w14:textId="77777777" w:rsidR="00EE5EC4" w:rsidRDefault="00EE5EC4" w:rsidP="005A5E66">
      <w:pPr>
        <w:ind w:left="284" w:right="-284" w:firstLine="567"/>
        <w:contextualSpacing/>
        <w:jc w:val="center"/>
        <w:rPr>
          <w:sz w:val="28"/>
          <w:szCs w:val="28"/>
          <w:lang w:val="uk-UA"/>
        </w:rPr>
      </w:pPr>
    </w:p>
    <w:p w14:paraId="49B9227D" w14:textId="77777777" w:rsidR="00EE5EC4" w:rsidRDefault="00EE5EC4" w:rsidP="005A5E66">
      <w:pPr>
        <w:ind w:left="284" w:right="-284" w:firstLine="567"/>
        <w:contextualSpacing/>
        <w:jc w:val="center"/>
        <w:rPr>
          <w:sz w:val="28"/>
          <w:szCs w:val="28"/>
          <w:lang w:val="uk-UA"/>
        </w:rPr>
      </w:pPr>
    </w:p>
    <w:p w14:paraId="13378688" w14:textId="77777777" w:rsidR="00EE5EC4" w:rsidRDefault="00EE5EC4" w:rsidP="005A5E66">
      <w:pPr>
        <w:ind w:left="284" w:right="-284" w:firstLine="567"/>
        <w:contextualSpacing/>
        <w:jc w:val="center"/>
        <w:rPr>
          <w:sz w:val="28"/>
          <w:szCs w:val="28"/>
          <w:lang w:val="uk-UA"/>
        </w:rPr>
      </w:pPr>
    </w:p>
    <w:p w14:paraId="6C863739" w14:textId="77777777" w:rsidR="00EE5EC4" w:rsidRDefault="00EE5EC4" w:rsidP="005A5E66">
      <w:pPr>
        <w:ind w:left="284" w:right="-284" w:firstLine="567"/>
        <w:contextualSpacing/>
        <w:jc w:val="center"/>
        <w:rPr>
          <w:sz w:val="28"/>
          <w:szCs w:val="28"/>
          <w:lang w:val="uk-UA"/>
        </w:rPr>
      </w:pPr>
    </w:p>
    <w:p w14:paraId="74A70500" w14:textId="77777777" w:rsidR="00EE5EC4" w:rsidRDefault="00EE5EC4" w:rsidP="005A5E66">
      <w:pPr>
        <w:ind w:left="284" w:right="-284" w:firstLine="567"/>
        <w:contextualSpacing/>
        <w:jc w:val="center"/>
        <w:rPr>
          <w:sz w:val="28"/>
          <w:szCs w:val="28"/>
          <w:lang w:val="uk-UA"/>
        </w:rPr>
      </w:pPr>
    </w:p>
    <w:p w14:paraId="79F873CB" w14:textId="77777777" w:rsidR="00EE5EC4" w:rsidRDefault="00EE5EC4" w:rsidP="005A5E66">
      <w:pPr>
        <w:ind w:left="284" w:right="-284" w:firstLine="567"/>
        <w:contextualSpacing/>
        <w:jc w:val="center"/>
        <w:rPr>
          <w:sz w:val="28"/>
          <w:szCs w:val="28"/>
          <w:lang w:val="uk-UA"/>
        </w:rPr>
      </w:pPr>
    </w:p>
    <w:p w14:paraId="6AE93967" w14:textId="77777777" w:rsidR="00EE5EC4" w:rsidRDefault="00EE5EC4" w:rsidP="005A5E66">
      <w:pPr>
        <w:ind w:left="284" w:right="-284" w:firstLine="567"/>
        <w:contextualSpacing/>
        <w:jc w:val="center"/>
        <w:rPr>
          <w:sz w:val="28"/>
          <w:szCs w:val="28"/>
          <w:lang w:val="uk-UA"/>
        </w:rPr>
      </w:pPr>
    </w:p>
    <w:p w14:paraId="267966AE" w14:textId="4B7F3A37" w:rsidR="00DD0F87" w:rsidRPr="005A5E66" w:rsidRDefault="00DD0F87" w:rsidP="005A5E66">
      <w:pPr>
        <w:ind w:left="284" w:right="-284" w:firstLine="567"/>
        <w:contextualSpacing/>
        <w:jc w:val="center"/>
        <w:rPr>
          <w:sz w:val="28"/>
          <w:szCs w:val="28"/>
          <w:lang w:val="uk-UA"/>
        </w:rPr>
      </w:pPr>
      <w:r w:rsidRPr="005A5E66">
        <w:rPr>
          <w:sz w:val="28"/>
          <w:szCs w:val="28"/>
          <w:lang w:val="uk-UA"/>
        </w:rPr>
        <w:t>Індивідуальна податкова консультація</w:t>
      </w:r>
    </w:p>
    <w:p w14:paraId="1A64DE6E" w14:textId="77777777" w:rsidR="00DD0F87" w:rsidRPr="005A5E66" w:rsidRDefault="00DD0F87" w:rsidP="005A5E66">
      <w:pPr>
        <w:ind w:left="284" w:right="-284" w:firstLine="567"/>
        <w:contextualSpacing/>
        <w:jc w:val="both"/>
        <w:rPr>
          <w:sz w:val="28"/>
          <w:szCs w:val="28"/>
          <w:lang w:val="uk-UA"/>
        </w:rPr>
      </w:pPr>
      <w:r w:rsidRPr="005A5E66">
        <w:rPr>
          <w:sz w:val="28"/>
          <w:szCs w:val="28"/>
          <w:lang w:val="uk-UA"/>
        </w:rPr>
        <w:t xml:space="preserve"> </w:t>
      </w:r>
    </w:p>
    <w:p w14:paraId="2AB5E4CC" w14:textId="4AFEC1AD" w:rsidR="00DD0F87" w:rsidRPr="005A5E66" w:rsidRDefault="00DD0F87" w:rsidP="005A5E66">
      <w:pPr>
        <w:ind w:left="284" w:right="-284" w:firstLine="567"/>
        <w:contextualSpacing/>
        <w:jc w:val="both"/>
        <w:rPr>
          <w:sz w:val="28"/>
          <w:szCs w:val="28"/>
          <w:lang w:val="uk-UA"/>
        </w:rPr>
      </w:pPr>
      <w:r w:rsidRPr="005A5E66">
        <w:rPr>
          <w:sz w:val="28"/>
          <w:szCs w:val="28"/>
          <w:lang w:val="uk-UA"/>
        </w:rPr>
        <w:t>Державна податкова служба України за результатами розгляду звернення фізичної особи – підприємця (далі – Підприємець)</w:t>
      </w:r>
      <w:r w:rsidR="00EE5EC4">
        <w:rPr>
          <w:sz w:val="28"/>
          <w:szCs w:val="28"/>
          <w:lang w:val="uk-UA"/>
        </w:rPr>
        <w:t xml:space="preserve"> </w:t>
      </w:r>
      <w:r w:rsidRPr="005A5E66">
        <w:rPr>
          <w:sz w:val="28"/>
          <w:szCs w:val="28"/>
          <w:lang w:val="uk-UA"/>
        </w:rPr>
        <w:t xml:space="preserve">щодо надання індивідуальної податкової консультації, керуючись статтею 52 Податкового кодексу України (далі – Кодекс), повідомляє таке. </w:t>
      </w:r>
    </w:p>
    <w:p w14:paraId="5A1F9D65" w14:textId="10064EFE" w:rsidR="00DD0F87" w:rsidRPr="005A5E66" w:rsidRDefault="00DD0F87" w:rsidP="005A5E66">
      <w:pPr>
        <w:widowControl w:val="0"/>
        <w:ind w:left="284" w:right="-284" w:firstLine="567"/>
        <w:jc w:val="both"/>
        <w:rPr>
          <w:sz w:val="28"/>
          <w:szCs w:val="28"/>
          <w:lang w:val="uk-UA"/>
        </w:rPr>
      </w:pPr>
      <w:r w:rsidRPr="005A5E66">
        <w:rPr>
          <w:sz w:val="28"/>
          <w:szCs w:val="28"/>
          <w:lang w:val="uk-UA"/>
        </w:rPr>
        <w:t>Відповідно до тексту звернення, Підприємець просить надати індивідуальну податкову консультацію з такого питання (в контексті звернення):</w:t>
      </w:r>
    </w:p>
    <w:p w14:paraId="34B16777" w14:textId="304582B6" w:rsidR="00BC17F3" w:rsidRPr="005A5E66" w:rsidRDefault="00D67E1A" w:rsidP="005A5E66">
      <w:pPr>
        <w:pStyle w:val="Default"/>
        <w:ind w:left="284" w:right="-284" w:firstLine="567"/>
        <w:jc w:val="both"/>
        <w:rPr>
          <w:color w:val="auto"/>
          <w:sz w:val="28"/>
          <w:szCs w:val="28"/>
        </w:rPr>
      </w:pPr>
      <w:r w:rsidRPr="005A5E66">
        <w:rPr>
          <w:color w:val="auto"/>
          <w:sz w:val="28"/>
          <w:szCs w:val="28"/>
        </w:rPr>
        <w:t xml:space="preserve">чи повинен </w:t>
      </w:r>
      <w:r w:rsidR="00BC17F3" w:rsidRPr="005A5E66">
        <w:rPr>
          <w:color w:val="auto"/>
          <w:sz w:val="28"/>
          <w:szCs w:val="28"/>
        </w:rPr>
        <w:t xml:space="preserve">фізична особа – підприємець платник єдиного податку другої групи </w:t>
      </w:r>
      <w:r w:rsidR="001F3F6B" w:rsidRPr="005A5E66">
        <w:rPr>
          <w:color w:val="auto"/>
          <w:sz w:val="28"/>
          <w:szCs w:val="28"/>
        </w:rPr>
        <w:t>вести облік товарних запасів</w:t>
      </w:r>
      <w:r w:rsidR="00BC17F3" w:rsidRPr="005A5E66">
        <w:rPr>
          <w:color w:val="auto"/>
          <w:sz w:val="28"/>
          <w:szCs w:val="28"/>
        </w:rPr>
        <w:t xml:space="preserve"> та зберігати первинні бухгалтерські документи на придбаний товар?</w:t>
      </w:r>
    </w:p>
    <w:p w14:paraId="234E1866" w14:textId="2A58E15E" w:rsidR="0097673C" w:rsidRDefault="0097673C" w:rsidP="005A5E66">
      <w:pPr>
        <w:ind w:left="284" w:right="-284" w:firstLine="567"/>
        <w:jc w:val="both"/>
        <w:rPr>
          <w:sz w:val="28"/>
          <w:szCs w:val="28"/>
          <w:lang w:val="uk-UA"/>
        </w:rPr>
      </w:pPr>
      <w:r w:rsidRPr="005A5E66">
        <w:rPr>
          <w:sz w:val="28"/>
          <w:szCs w:val="28"/>
          <w:lang w:val="uk-UA"/>
        </w:rPr>
        <w:t xml:space="preserve">Відповідно до пункту 12 статті 3 Закону </w:t>
      </w:r>
      <w:r w:rsidR="00396852" w:rsidRPr="005A5E66">
        <w:rPr>
          <w:sz w:val="28"/>
          <w:szCs w:val="28"/>
          <w:lang w:val="uk-UA"/>
        </w:rPr>
        <w:t>України від 06 липня 1995 року</w:t>
      </w:r>
      <w:r w:rsidR="00396852" w:rsidRPr="005A5E66">
        <w:rPr>
          <w:sz w:val="28"/>
          <w:szCs w:val="28"/>
          <w:lang w:val="uk-UA"/>
        </w:rPr>
        <w:br/>
        <w:t xml:space="preserve">№ 265/95-ВР «Про застосування реєстраторів розрахункових операцій у сфері торгівлі, громадського харчування та послуг» (далі – Закон № 265) </w:t>
      </w:r>
      <w:r w:rsidRPr="005A5E66">
        <w:rPr>
          <w:sz w:val="28"/>
          <w:szCs w:val="28"/>
          <w:lang w:val="uk-UA"/>
        </w:rPr>
        <w:t xml:space="preserve">суб’єкти господарювання, які здійснюють </w:t>
      </w:r>
      <w:r w:rsidR="00922FA7" w:rsidRPr="005A5E66">
        <w:rPr>
          <w:sz w:val="28"/>
          <w:szCs w:val="28"/>
          <w:lang w:val="uk-UA"/>
        </w:rPr>
        <w:t>розрахунки</w:t>
      </w:r>
      <w:r w:rsidRPr="005A5E66">
        <w:rPr>
          <w:sz w:val="28"/>
          <w:szCs w:val="28"/>
          <w:lang w:val="uk-UA"/>
        </w:rPr>
        <w:t xml:space="preserve"> в готівковій та/або</w:t>
      </w:r>
      <w:r w:rsidR="00326C5B" w:rsidRPr="005A5E66">
        <w:rPr>
          <w:sz w:val="28"/>
          <w:szCs w:val="28"/>
          <w:lang w:val="uk-UA"/>
        </w:rPr>
        <w:br/>
      </w:r>
      <w:r w:rsidRPr="005A5E66">
        <w:rPr>
          <w:sz w:val="28"/>
          <w:szCs w:val="28"/>
          <w:lang w:val="uk-UA"/>
        </w:rPr>
        <w:t>в безготівковій формі</w:t>
      </w:r>
      <w:r w:rsidR="00396852" w:rsidRPr="005A5E66">
        <w:rPr>
          <w:sz w:val="28"/>
          <w:szCs w:val="28"/>
          <w:lang w:val="uk-UA"/>
        </w:rPr>
        <w:t xml:space="preserve"> </w:t>
      </w:r>
      <w:r w:rsidRPr="005A5E66">
        <w:rPr>
          <w:sz w:val="28"/>
          <w:szCs w:val="28"/>
          <w:lang w:val="uk-UA"/>
        </w:rPr>
        <w:t>(із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зобов’язані вести в порядку, встановленому законодавством, облік товарних запасів, здійснювати продаж лише тих товарів (послуг),</w:t>
      </w:r>
      <w:r w:rsidR="00396852" w:rsidRPr="005A5E66">
        <w:rPr>
          <w:sz w:val="28"/>
          <w:szCs w:val="28"/>
          <w:lang w:val="uk-UA"/>
        </w:rPr>
        <w:t xml:space="preserve"> </w:t>
      </w:r>
      <w:r w:rsidRPr="005A5E66">
        <w:rPr>
          <w:sz w:val="28"/>
          <w:szCs w:val="28"/>
          <w:lang w:val="uk-UA"/>
        </w:rPr>
        <w:t xml:space="preserve">що відображені в такому обліку. </w:t>
      </w:r>
    </w:p>
    <w:p w14:paraId="2ECA8C9F" w14:textId="37738923" w:rsidR="00EE5EC4" w:rsidRDefault="00EE5EC4" w:rsidP="005A5E66">
      <w:pPr>
        <w:ind w:left="284" w:right="-284" w:firstLine="567"/>
        <w:jc w:val="both"/>
        <w:rPr>
          <w:sz w:val="28"/>
          <w:szCs w:val="28"/>
          <w:lang w:val="uk-UA"/>
        </w:rPr>
      </w:pPr>
    </w:p>
    <w:p w14:paraId="6660CFEB" w14:textId="77777777" w:rsidR="00F14777" w:rsidRPr="005A5E66" w:rsidRDefault="00F14777" w:rsidP="005A5E66">
      <w:pPr>
        <w:ind w:left="284" w:right="-284" w:firstLine="567"/>
        <w:jc w:val="both"/>
        <w:rPr>
          <w:sz w:val="28"/>
          <w:szCs w:val="28"/>
          <w:lang w:val="uk-UA"/>
        </w:rPr>
      </w:pPr>
    </w:p>
    <w:p w14:paraId="060ACD8F" w14:textId="476844DC" w:rsidR="0097673C" w:rsidRPr="005A5E66" w:rsidRDefault="0097673C" w:rsidP="005A5E66">
      <w:pPr>
        <w:ind w:left="284" w:right="-284" w:firstLine="567"/>
        <w:jc w:val="both"/>
        <w:rPr>
          <w:sz w:val="28"/>
          <w:szCs w:val="28"/>
          <w:lang w:val="uk-UA"/>
        </w:rPr>
      </w:pPr>
      <w:r w:rsidRPr="005A5E66">
        <w:rPr>
          <w:sz w:val="28"/>
          <w:szCs w:val="28"/>
          <w:lang w:val="uk-UA"/>
        </w:rPr>
        <w:lastRenderedPageBreak/>
        <w:t xml:space="preserve">Порядок та форма обліку товарних запасів для </w:t>
      </w:r>
      <w:r w:rsidR="00326C5B" w:rsidRPr="005A5E66">
        <w:rPr>
          <w:sz w:val="28"/>
          <w:szCs w:val="28"/>
          <w:lang w:val="uk-UA"/>
        </w:rPr>
        <w:t>фізичних осіб – підприємців</w:t>
      </w:r>
      <w:r w:rsidRPr="005A5E66">
        <w:rPr>
          <w:sz w:val="28"/>
          <w:szCs w:val="28"/>
          <w:lang w:val="uk-UA"/>
        </w:rPr>
        <w:t xml:space="preserve">, у тому числі платників єдиного податку, встановлюються центральним органом виконавчої влади, що забезпечує формування та реалізує державну фінансову політику. </w:t>
      </w:r>
    </w:p>
    <w:p w14:paraId="677CABE2" w14:textId="42472972" w:rsidR="0097673C" w:rsidRPr="005A5E66" w:rsidRDefault="00172B98" w:rsidP="005A5E66">
      <w:pPr>
        <w:ind w:left="284" w:right="-284" w:firstLine="567"/>
        <w:jc w:val="both"/>
        <w:rPr>
          <w:sz w:val="28"/>
          <w:szCs w:val="28"/>
          <w:lang w:val="uk-UA"/>
        </w:rPr>
      </w:pPr>
      <w:r w:rsidRPr="005A5E66">
        <w:rPr>
          <w:sz w:val="28"/>
          <w:szCs w:val="28"/>
          <w:lang w:val="uk-UA"/>
        </w:rPr>
        <w:t>С</w:t>
      </w:r>
      <w:r w:rsidR="0097673C" w:rsidRPr="005A5E66">
        <w:rPr>
          <w:sz w:val="28"/>
          <w:szCs w:val="28"/>
          <w:lang w:val="uk-UA"/>
        </w:rPr>
        <w:t>уб’єкт господарювання зобов’язаний надати контролюючим органам на початок проведення перевірки документи (у паперовій або електронній формі), що підтверджують облік та походження товарних запасів (зокрема, але не виключно, документи щодо інвентаризації товарних запасів, документи про отримання товарів від інших суб’єктів господарювання та/або документи на внутрішнє переміщення товарів), які на момент перевірки знаходяться у місці продажу (господарському об’єкті).</w:t>
      </w:r>
    </w:p>
    <w:p w14:paraId="34DADB23" w14:textId="5B8D9401" w:rsidR="0097673C" w:rsidRPr="005A5E66" w:rsidRDefault="0097673C" w:rsidP="005A5E66">
      <w:pPr>
        <w:ind w:left="284" w:right="-284" w:firstLine="567"/>
        <w:jc w:val="both"/>
        <w:rPr>
          <w:sz w:val="28"/>
          <w:szCs w:val="28"/>
          <w:lang w:val="uk-UA"/>
        </w:rPr>
      </w:pPr>
      <w:r w:rsidRPr="005A5E66">
        <w:rPr>
          <w:sz w:val="28"/>
          <w:szCs w:val="28"/>
          <w:lang w:val="uk-UA"/>
        </w:rPr>
        <w:t xml:space="preserve">Такі вимоги не поширюються на </w:t>
      </w:r>
      <w:r w:rsidR="00172B98" w:rsidRPr="005A5E66">
        <w:rPr>
          <w:sz w:val="28"/>
          <w:szCs w:val="28"/>
          <w:lang w:val="uk-UA"/>
        </w:rPr>
        <w:t>фізичних осіб – підприємців</w:t>
      </w:r>
      <w:r w:rsidRPr="005A5E66">
        <w:rPr>
          <w:sz w:val="28"/>
          <w:szCs w:val="28"/>
          <w:lang w:val="uk-UA"/>
        </w:rPr>
        <w:t>, які є платниками єдиного податку та не зареєстровані платниками податку на додану вартість (крім тих, які провадять діяльність з реалізації технічно складних побутових товарів, що підлягають гарантійному ремонту, а також лікарських засобів та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r w:rsidR="006853D9" w:rsidRPr="005A5E66">
        <w:rPr>
          <w:sz w:val="28"/>
          <w:szCs w:val="28"/>
          <w:lang w:val="uk-UA"/>
        </w:rPr>
        <w:t xml:space="preserve"> (абзац другий</w:t>
      </w:r>
      <w:r w:rsidR="006853D9" w:rsidRPr="005A5E66">
        <w:rPr>
          <w:sz w:val="28"/>
          <w:szCs w:val="28"/>
          <w:lang w:val="uk-UA"/>
        </w:rPr>
        <w:br/>
        <w:t xml:space="preserve">пункту 12 статті 3 Закону № 265). </w:t>
      </w:r>
    </w:p>
    <w:p w14:paraId="292D9466" w14:textId="5C7DA4B6" w:rsidR="00093FF2" w:rsidRPr="005A5E66" w:rsidRDefault="00093FF2" w:rsidP="005A5E66">
      <w:pPr>
        <w:ind w:left="284" w:right="-284" w:firstLine="567"/>
        <w:jc w:val="both"/>
        <w:rPr>
          <w:sz w:val="28"/>
          <w:szCs w:val="28"/>
          <w:lang w:val="uk-UA" w:eastAsia="en-US"/>
        </w:rPr>
      </w:pPr>
      <w:r w:rsidRPr="005A5E66">
        <w:rPr>
          <w:sz w:val="28"/>
          <w:szCs w:val="28"/>
          <w:lang w:val="uk-UA"/>
        </w:rPr>
        <w:t xml:space="preserve">Порядок ведення обліку товарних запасів для </w:t>
      </w:r>
      <w:r w:rsidR="00172B98" w:rsidRPr="005A5E66">
        <w:rPr>
          <w:sz w:val="28"/>
          <w:szCs w:val="28"/>
          <w:lang w:val="uk-UA"/>
        </w:rPr>
        <w:t>фізичних осіб – підприємців</w:t>
      </w:r>
      <w:r w:rsidRPr="005A5E66">
        <w:rPr>
          <w:sz w:val="28"/>
          <w:szCs w:val="28"/>
          <w:lang w:val="uk-UA"/>
        </w:rPr>
        <w:t>, у тому числі платників єдиного податку, затверджений наказом Міністерства фінансів України</w:t>
      </w:r>
      <w:r w:rsidR="00172B98" w:rsidRPr="005A5E66">
        <w:rPr>
          <w:sz w:val="28"/>
          <w:szCs w:val="28"/>
          <w:lang w:val="uk-UA"/>
        </w:rPr>
        <w:t xml:space="preserve"> </w:t>
      </w:r>
      <w:r w:rsidRPr="005A5E66">
        <w:rPr>
          <w:sz w:val="28"/>
          <w:szCs w:val="28"/>
          <w:lang w:val="uk-UA"/>
        </w:rPr>
        <w:t>від 03 вересня 2021 року № 496, зареєстровани</w:t>
      </w:r>
      <w:r w:rsidR="00BA3DBA" w:rsidRPr="005A5E66">
        <w:rPr>
          <w:sz w:val="28"/>
          <w:szCs w:val="28"/>
          <w:lang w:val="uk-UA"/>
        </w:rPr>
        <w:t>м</w:t>
      </w:r>
      <w:r w:rsidRPr="005A5E66">
        <w:rPr>
          <w:sz w:val="28"/>
          <w:szCs w:val="28"/>
          <w:lang w:val="uk-UA"/>
        </w:rPr>
        <w:t xml:space="preserve"> в Міністерстві юстиції України 02 листопада 2021 року за № 1411/37033 (далі – Порядок № 496), визначає правила ведення обліку товарних запасів та поширюється на </w:t>
      </w:r>
      <w:r w:rsidR="00172B98" w:rsidRPr="005A5E66">
        <w:rPr>
          <w:sz w:val="28"/>
          <w:szCs w:val="28"/>
          <w:lang w:val="uk-UA"/>
        </w:rPr>
        <w:t>фізичних осіб – підприємців</w:t>
      </w:r>
      <w:r w:rsidRPr="005A5E66">
        <w:rPr>
          <w:sz w:val="28"/>
          <w:szCs w:val="28"/>
          <w:lang w:val="uk-UA"/>
        </w:rPr>
        <w:t>, у тому числі платників єдиного податку</w:t>
      </w:r>
      <w:r w:rsidR="00172B98" w:rsidRPr="005A5E66">
        <w:rPr>
          <w:sz w:val="28"/>
          <w:szCs w:val="28"/>
          <w:lang w:val="uk-UA"/>
        </w:rPr>
        <w:t xml:space="preserve"> (далі – ФОП)</w:t>
      </w:r>
      <w:r w:rsidRPr="005A5E66">
        <w:rPr>
          <w:sz w:val="28"/>
          <w:szCs w:val="28"/>
          <w:lang w:val="uk-UA"/>
        </w:rPr>
        <w:t>,</w:t>
      </w:r>
      <w:r w:rsidR="00911240">
        <w:rPr>
          <w:sz w:val="28"/>
          <w:szCs w:val="28"/>
          <w:lang w:val="uk-UA"/>
        </w:rPr>
        <w:t xml:space="preserve"> </w:t>
      </w:r>
      <w:bookmarkStart w:id="0" w:name="_GoBack"/>
      <w:bookmarkEnd w:id="0"/>
      <w:r w:rsidRPr="005A5E66">
        <w:rPr>
          <w:sz w:val="28"/>
          <w:szCs w:val="28"/>
          <w:lang w:val="uk-UA"/>
        </w:rPr>
        <w:t xml:space="preserve">які відповідно до Закону № 265 зобов’язані вести облік товарних запасів та здійснювати продаж лише тих товарів, що відображені в такому обліку, та осіб, які фактично здійснюють продаж товарів (надання послуг) та/або розрахункові операції в місці продажу (господарському об’єкті) такого ФОП. </w:t>
      </w:r>
    </w:p>
    <w:p w14:paraId="4E597297" w14:textId="38B61405" w:rsidR="001B3FBC" w:rsidRPr="005A5E66" w:rsidRDefault="00093FF2" w:rsidP="005A5E66">
      <w:pPr>
        <w:ind w:left="284" w:right="-284" w:firstLine="567"/>
        <w:jc w:val="both"/>
        <w:rPr>
          <w:sz w:val="28"/>
          <w:szCs w:val="28"/>
          <w:lang w:val="uk-UA" w:eastAsia="uk-UA"/>
        </w:rPr>
      </w:pPr>
      <w:r w:rsidRPr="005A5E66">
        <w:rPr>
          <w:sz w:val="28"/>
          <w:szCs w:val="28"/>
          <w:lang w:val="uk-UA"/>
        </w:rPr>
        <w:t>Згідно з пунктом 1 розділу ІІ Порядку № 496</w:t>
      </w:r>
      <w:r w:rsidR="001B3FBC" w:rsidRPr="005A5E66">
        <w:rPr>
          <w:sz w:val="28"/>
          <w:szCs w:val="28"/>
          <w:lang w:val="uk-UA"/>
        </w:rPr>
        <w:t>,</w:t>
      </w:r>
      <w:r w:rsidRPr="005A5E66">
        <w:rPr>
          <w:sz w:val="28"/>
          <w:szCs w:val="28"/>
          <w:lang w:val="uk-UA"/>
        </w:rPr>
        <w:t xml:space="preserve"> о</w:t>
      </w:r>
      <w:r w:rsidRPr="005A5E66">
        <w:rPr>
          <w:sz w:val="28"/>
          <w:szCs w:val="28"/>
          <w:lang w:val="uk-UA" w:eastAsia="uk-UA"/>
        </w:rPr>
        <w:t xml:space="preserve">блік товарних запасів здійснюється ФОП шляхом постійного внесення до Форми </w:t>
      </w:r>
      <w:r w:rsidR="0037108D" w:rsidRPr="005A5E66">
        <w:rPr>
          <w:sz w:val="28"/>
          <w:szCs w:val="28"/>
          <w:lang w:val="uk-UA" w:eastAsia="uk-UA"/>
        </w:rPr>
        <w:t xml:space="preserve">ведення </w:t>
      </w:r>
      <w:r w:rsidRPr="005A5E66">
        <w:rPr>
          <w:sz w:val="28"/>
          <w:szCs w:val="28"/>
          <w:lang w:val="uk-UA" w:eastAsia="uk-UA"/>
        </w:rPr>
        <w:t>обліку</w:t>
      </w:r>
      <w:r w:rsidR="0037108D" w:rsidRPr="005A5E66">
        <w:rPr>
          <w:sz w:val="28"/>
          <w:szCs w:val="28"/>
          <w:lang w:val="uk-UA" w:eastAsia="uk-UA"/>
        </w:rPr>
        <w:t xml:space="preserve"> товарних запасів (далі – Форма обліку)</w:t>
      </w:r>
      <w:r w:rsidRPr="005A5E66">
        <w:rPr>
          <w:sz w:val="28"/>
          <w:szCs w:val="28"/>
          <w:lang w:val="uk-UA" w:eastAsia="uk-UA"/>
        </w:rPr>
        <w:t xml:space="preserve"> інформації про надходження та вибуття товарів на підставі первинних документів, які є невід’ємною частиною такого обліку.</w:t>
      </w:r>
      <w:bookmarkStart w:id="1" w:name="n30"/>
      <w:bookmarkEnd w:id="1"/>
      <w:r w:rsidR="00B711A2" w:rsidRPr="005A5E66">
        <w:rPr>
          <w:sz w:val="28"/>
          <w:szCs w:val="28"/>
          <w:lang w:val="uk-UA" w:eastAsia="uk-UA"/>
        </w:rPr>
        <w:t xml:space="preserve"> </w:t>
      </w:r>
    </w:p>
    <w:p w14:paraId="0FFFFF95" w14:textId="2B1550CD" w:rsidR="001B3FBC" w:rsidRDefault="001B3FBC" w:rsidP="005A5E66">
      <w:pPr>
        <w:ind w:left="284" w:right="-284" w:firstLine="567"/>
        <w:jc w:val="both"/>
        <w:rPr>
          <w:sz w:val="28"/>
          <w:szCs w:val="28"/>
          <w:lang w:val="uk-UA" w:eastAsia="uk-UA"/>
        </w:rPr>
      </w:pPr>
      <w:r w:rsidRPr="005A5E66">
        <w:rPr>
          <w:sz w:val="28"/>
          <w:szCs w:val="28"/>
          <w:lang w:val="uk-UA" w:eastAsia="uk-UA"/>
        </w:rPr>
        <w:t>ФОП, як</w:t>
      </w:r>
      <w:r w:rsidR="007F76A0" w:rsidRPr="005A5E66">
        <w:rPr>
          <w:sz w:val="28"/>
          <w:szCs w:val="28"/>
          <w:lang w:val="uk-UA" w:eastAsia="uk-UA"/>
        </w:rPr>
        <w:t xml:space="preserve">ий </w:t>
      </w:r>
      <w:r w:rsidRPr="005A5E66">
        <w:rPr>
          <w:sz w:val="28"/>
          <w:szCs w:val="28"/>
          <w:lang w:val="uk-UA" w:eastAsia="uk-UA"/>
        </w:rPr>
        <w:t>здійснює діяльність у декількох місцях продажу (господарських об’єктах), веде облік товарних запасів також за кожним окремим місцем продажу (господарським об</w:t>
      </w:r>
      <w:r w:rsidR="0042039B" w:rsidRPr="005A5E66">
        <w:rPr>
          <w:sz w:val="28"/>
          <w:szCs w:val="28"/>
          <w:lang w:val="uk-UA" w:eastAsia="uk-UA"/>
        </w:rPr>
        <w:t>’</w:t>
      </w:r>
      <w:r w:rsidRPr="005A5E66">
        <w:rPr>
          <w:sz w:val="28"/>
          <w:szCs w:val="28"/>
          <w:lang w:val="uk-UA" w:eastAsia="uk-UA"/>
        </w:rPr>
        <w:t>єктом) на підставі первинних документів, які підтверджують отримання товарів так</w:t>
      </w:r>
      <w:r w:rsidR="005E0BB8" w:rsidRPr="005A5E66">
        <w:rPr>
          <w:sz w:val="28"/>
          <w:szCs w:val="28"/>
          <w:lang w:val="uk-UA" w:eastAsia="uk-UA"/>
        </w:rPr>
        <w:t>им</w:t>
      </w:r>
      <w:r w:rsidRPr="005A5E66">
        <w:rPr>
          <w:sz w:val="28"/>
          <w:szCs w:val="28"/>
          <w:lang w:val="uk-UA" w:eastAsia="uk-UA"/>
        </w:rPr>
        <w:t xml:space="preserve"> ФОП або окремим місцем продажу (господарським об</w:t>
      </w:r>
      <w:r w:rsidR="0042039B" w:rsidRPr="005A5E66">
        <w:rPr>
          <w:sz w:val="28"/>
          <w:szCs w:val="28"/>
          <w:lang w:val="uk-UA" w:eastAsia="uk-UA"/>
        </w:rPr>
        <w:t>’</w:t>
      </w:r>
      <w:r w:rsidRPr="005A5E66">
        <w:rPr>
          <w:sz w:val="28"/>
          <w:szCs w:val="28"/>
          <w:lang w:val="uk-UA" w:eastAsia="uk-UA"/>
        </w:rPr>
        <w:t>єктом), та/або первинних документів на внутрішнє переміщення товарів між ФОП та його окремими місцями продажу (господарськими об’єктами). Первинні документи на внутрішнє переміщення товарів є невід’ємною частиною такого обліку.</w:t>
      </w:r>
      <w:bookmarkStart w:id="2" w:name="n31"/>
      <w:bookmarkEnd w:id="2"/>
      <w:r w:rsidR="007F76A0" w:rsidRPr="005A5E66">
        <w:rPr>
          <w:sz w:val="28"/>
          <w:szCs w:val="28"/>
          <w:lang w:val="uk-UA" w:eastAsia="uk-UA"/>
        </w:rPr>
        <w:t xml:space="preserve"> </w:t>
      </w:r>
    </w:p>
    <w:p w14:paraId="6BC9878F" w14:textId="77777777" w:rsidR="00F14777" w:rsidRPr="005A5E66" w:rsidRDefault="00F14777" w:rsidP="005A5E66">
      <w:pPr>
        <w:ind w:left="284" w:right="-284" w:firstLine="567"/>
        <w:jc w:val="both"/>
        <w:rPr>
          <w:sz w:val="28"/>
          <w:szCs w:val="28"/>
          <w:lang w:val="uk-UA" w:eastAsia="uk-UA"/>
        </w:rPr>
      </w:pPr>
    </w:p>
    <w:p w14:paraId="06708C84" w14:textId="3C2AE66C" w:rsidR="001B3FBC" w:rsidRPr="005A5E66" w:rsidRDefault="001B3FBC" w:rsidP="005A5E66">
      <w:pPr>
        <w:ind w:left="284" w:right="-284" w:firstLine="567"/>
        <w:jc w:val="both"/>
        <w:rPr>
          <w:sz w:val="28"/>
          <w:szCs w:val="28"/>
          <w:lang w:val="uk-UA" w:eastAsia="uk-UA"/>
        </w:rPr>
      </w:pPr>
      <w:r w:rsidRPr="005A5E66">
        <w:rPr>
          <w:sz w:val="28"/>
          <w:szCs w:val="28"/>
          <w:lang w:val="uk-UA" w:eastAsia="uk-UA"/>
        </w:rPr>
        <w:lastRenderedPageBreak/>
        <w:t>Первинні документи, на підставі яких внесено записи до Форми обліку,</w:t>
      </w:r>
      <w:r w:rsidR="000743DF" w:rsidRPr="005A5E66">
        <w:rPr>
          <w:sz w:val="28"/>
          <w:szCs w:val="28"/>
          <w:lang w:val="uk-UA" w:eastAsia="uk-UA"/>
        </w:rPr>
        <w:br/>
      </w:r>
      <w:r w:rsidRPr="005A5E66">
        <w:rPr>
          <w:sz w:val="28"/>
          <w:szCs w:val="28"/>
          <w:lang w:val="uk-UA" w:eastAsia="uk-UA"/>
        </w:rPr>
        <w:t>є обов’язковими додатками до такої форми. Внесення даних до Форми обліку щодо надходження товарів на підставі первинних документів здійснюється до початку їх реалізації.</w:t>
      </w:r>
      <w:r w:rsidR="00B711A2" w:rsidRPr="005A5E66">
        <w:rPr>
          <w:sz w:val="28"/>
          <w:szCs w:val="28"/>
          <w:lang w:val="uk-UA" w:eastAsia="uk-UA"/>
        </w:rPr>
        <w:t xml:space="preserve"> </w:t>
      </w:r>
    </w:p>
    <w:p w14:paraId="7CD64428" w14:textId="3D8CA482" w:rsidR="00DD0F87" w:rsidRPr="005A5E66" w:rsidRDefault="00DD0F87" w:rsidP="005A5E66">
      <w:pPr>
        <w:ind w:left="284" w:right="-284" w:firstLine="567"/>
        <w:jc w:val="both"/>
        <w:rPr>
          <w:sz w:val="28"/>
          <w:szCs w:val="28"/>
          <w:lang w:val="uk-UA"/>
        </w:rPr>
      </w:pPr>
      <w:r w:rsidRPr="005A5E66">
        <w:rPr>
          <w:sz w:val="28"/>
          <w:szCs w:val="28"/>
          <w:lang w:val="uk-UA"/>
        </w:rPr>
        <w:t xml:space="preserve">Враховуючи </w:t>
      </w:r>
      <w:r w:rsidR="006A58F2" w:rsidRPr="005A5E66">
        <w:rPr>
          <w:sz w:val="28"/>
          <w:szCs w:val="28"/>
          <w:lang w:val="uk-UA"/>
        </w:rPr>
        <w:t>зазначене</w:t>
      </w:r>
      <w:r w:rsidRPr="005A5E66">
        <w:rPr>
          <w:sz w:val="28"/>
          <w:szCs w:val="28"/>
          <w:lang w:val="uk-UA"/>
        </w:rPr>
        <w:t xml:space="preserve"> та як відповідь на питання</w:t>
      </w:r>
      <w:r w:rsidR="00701389" w:rsidRPr="005A5E66">
        <w:rPr>
          <w:sz w:val="28"/>
          <w:szCs w:val="28"/>
          <w:lang w:val="uk-UA"/>
        </w:rPr>
        <w:t xml:space="preserve"> в контексті звернення </w:t>
      </w:r>
      <w:r w:rsidRPr="005A5E66">
        <w:rPr>
          <w:sz w:val="28"/>
          <w:szCs w:val="28"/>
          <w:lang w:val="uk-UA"/>
        </w:rPr>
        <w:t xml:space="preserve"> повідомляємо, що у разі якщо Підприємець є</w:t>
      </w:r>
      <w:r w:rsidR="005E0BB8" w:rsidRPr="005A5E66">
        <w:rPr>
          <w:sz w:val="28"/>
          <w:szCs w:val="28"/>
          <w:lang w:val="uk-UA"/>
        </w:rPr>
        <w:t xml:space="preserve"> </w:t>
      </w:r>
      <w:r w:rsidRPr="005A5E66">
        <w:rPr>
          <w:sz w:val="28"/>
          <w:szCs w:val="28"/>
          <w:lang w:val="uk-UA"/>
        </w:rPr>
        <w:t>платником єдиного податку</w:t>
      </w:r>
      <w:r w:rsidR="00530F4A" w:rsidRPr="005A5E66">
        <w:rPr>
          <w:sz w:val="28"/>
          <w:szCs w:val="28"/>
          <w:lang w:val="uk-UA"/>
        </w:rPr>
        <w:t xml:space="preserve"> другої групи</w:t>
      </w:r>
      <w:r w:rsidRPr="005A5E66">
        <w:rPr>
          <w:sz w:val="28"/>
          <w:szCs w:val="28"/>
          <w:lang w:val="uk-UA"/>
        </w:rPr>
        <w:t>, не зареєстрован</w:t>
      </w:r>
      <w:r w:rsidR="0067487C" w:rsidRPr="005A5E66">
        <w:rPr>
          <w:sz w:val="28"/>
          <w:szCs w:val="28"/>
          <w:lang w:val="uk-UA"/>
        </w:rPr>
        <w:t>ий</w:t>
      </w:r>
      <w:r w:rsidRPr="005A5E66">
        <w:rPr>
          <w:sz w:val="28"/>
          <w:szCs w:val="28"/>
          <w:lang w:val="uk-UA"/>
        </w:rPr>
        <w:t xml:space="preserve"> платником податку на додану вартість</w:t>
      </w:r>
      <w:r w:rsidR="00836B83" w:rsidRPr="005A5E66">
        <w:rPr>
          <w:sz w:val="28"/>
          <w:szCs w:val="28"/>
          <w:lang w:val="uk-UA"/>
        </w:rPr>
        <w:t>,</w:t>
      </w:r>
      <w:r w:rsidRPr="005A5E66">
        <w:rPr>
          <w:sz w:val="28"/>
          <w:szCs w:val="28"/>
          <w:lang w:val="uk-UA"/>
        </w:rPr>
        <w:t xml:space="preserve"> та не здійснює реалізацію груп товарів, зазначених</w:t>
      </w:r>
      <w:r w:rsidR="00530F4A" w:rsidRPr="005A5E66">
        <w:rPr>
          <w:sz w:val="28"/>
          <w:szCs w:val="28"/>
          <w:lang w:val="uk-UA"/>
        </w:rPr>
        <w:t xml:space="preserve"> </w:t>
      </w:r>
      <w:r w:rsidRPr="005A5E66">
        <w:rPr>
          <w:sz w:val="28"/>
          <w:szCs w:val="28"/>
          <w:lang w:val="uk-UA"/>
        </w:rPr>
        <w:t xml:space="preserve">у пункті 12 статті 3 Закону № 265, на </w:t>
      </w:r>
      <w:r w:rsidR="00546B51" w:rsidRPr="005A5E66">
        <w:rPr>
          <w:sz w:val="28"/>
          <w:szCs w:val="28"/>
          <w:lang w:val="uk-UA"/>
        </w:rPr>
        <w:t>нього</w:t>
      </w:r>
      <w:r w:rsidRPr="005A5E66">
        <w:rPr>
          <w:sz w:val="28"/>
          <w:szCs w:val="28"/>
          <w:lang w:val="uk-UA"/>
        </w:rPr>
        <w:t xml:space="preserve"> не поширюються вимоги</w:t>
      </w:r>
      <w:r w:rsidR="00D5093B" w:rsidRPr="005A5E66">
        <w:rPr>
          <w:sz w:val="28"/>
          <w:szCs w:val="28"/>
          <w:lang w:val="uk-UA"/>
        </w:rPr>
        <w:t xml:space="preserve"> </w:t>
      </w:r>
      <w:r w:rsidRPr="005A5E66">
        <w:rPr>
          <w:sz w:val="28"/>
          <w:szCs w:val="28"/>
          <w:lang w:val="uk-UA"/>
        </w:rPr>
        <w:t>Порядку № 496 щодо ведення обліку товарних запасів за місцем їх реалізації</w:t>
      </w:r>
      <w:r w:rsidR="006E3F41" w:rsidRPr="005A5E66">
        <w:rPr>
          <w:sz w:val="28"/>
          <w:szCs w:val="28"/>
          <w:lang w:val="uk-UA"/>
        </w:rPr>
        <w:t>,</w:t>
      </w:r>
      <w:r w:rsidR="00701389" w:rsidRPr="005A5E66">
        <w:rPr>
          <w:sz w:val="28"/>
          <w:szCs w:val="28"/>
          <w:lang w:val="uk-UA"/>
        </w:rPr>
        <w:t xml:space="preserve"> </w:t>
      </w:r>
      <w:r w:rsidR="00842CF6" w:rsidRPr="005A5E66">
        <w:rPr>
          <w:sz w:val="28"/>
          <w:szCs w:val="28"/>
          <w:lang w:val="uk-UA"/>
        </w:rPr>
        <w:t>а також</w:t>
      </w:r>
      <w:r w:rsidR="00701389" w:rsidRPr="005A5E66">
        <w:rPr>
          <w:sz w:val="28"/>
          <w:szCs w:val="28"/>
          <w:lang w:val="uk-UA"/>
        </w:rPr>
        <w:t xml:space="preserve"> </w:t>
      </w:r>
      <w:r w:rsidR="006853D9" w:rsidRPr="005A5E66">
        <w:rPr>
          <w:sz w:val="28"/>
          <w:szCs w:val="28"/>
          <w:lang w:val="uk-UA"/>
        </w:rPr>
        <w:t xml:space="preserve">відсутній обов’язок </w:t>
      </w:r>
      <w:r w:rsidR="00836B83" w:rsidRPr="005A5E66">
        <w:rPr>
          <w:sz w:val="28"/>
          <w:szCs w:val="28"/>
          <w:lang w:val="uk-UA"/>
        </w:rPr>
        <w:t>зберігати первинні</w:t>
      </w:r>
      <w:r w:rsidR="00701389" w:rsidRPr="005A5E66">
        <w:rPr>
          <w:sz w:val="28"/>
          <w:szCs w:val="28"/>
          <w:lang w:val="uk-UA"/>
        </w:rPr>
        <w:t xml:space="preserve"> </w:t>
      </w:r>
      <w:r w:rsidR="00836B83" w:rsidRPr="005A5E66">
        <w:rPr>
          <w:sz w:val="28"/>
          <w:szCs w:val="28"/>
          <w:lang w:val="uk-UA"/>
        </w:rPr>
        <w:t>бухгалтерські документи на придбаний товар</w:t>
      </w:r>
      <w:r w:rsidR="006853D9" w:rsidRPr="005A5E66">
        <w:rPr>
          <w:sz w:val="28"/>
          <w:szCs w:val="28"/>
          <w:lang w:val="uk-UA"/>
        </w:rPr>
        <w:t xml:space="preserve">. </w:t>
      </w:r>
    </w:p>
    <w:p w14:paraId="43019D9B" w14:textId="06AFD448" w:rsidR="00DD0F87" w:rsidRPr="005A5E66" w:rsidRDefault="00DD0F87" w:rsidP="005A5E66">
      <w:pPr>
        <w:pStyle w:val="20"/>
        <w:shd w:val="clear" w:color="auto" w:fill="auto"/>
        <w:spacing w:after="0" w:line="240" w:lineRule="auto"/>
        <w:ind w:left="284" w:right="-284" w:firstLine="567"/>
        <w:jc w:val="both"/>
        <w:rPr>
          <w:rFonts w:cs="Times New Roman"/>
          <w:sz w:val="28"/>
          <w:szCs w:val="28"/>
        </w:rPr>
      </w:pPr>
      <w:r w:rsidRPr="005A5E66">
        <w:rPr>
          <w:rFonts w:cs="Times New Roman"/>
          <w:sz w:val="28"/>
          <w:szCs w:val="28"/>
        </w:rPr>
        <w:t xml:space="preserve">Водночас, у разі якщо Підприємець реалізує товар, зазначений у абзаці </w:t>
      </w:r>
      <w:r w:rsidR="00E66FF7" w:rsidRPr="005A5E66">
        <w:rPr>
          <w:rFonts w:cs="Times New Roman"/>
          <w:sz w:val="28"/>
          <w:szCs w:val="28"/>
        </w:rPr>
        <w:t>другому</w:t>
      </w:r>
      <w:r w:rsidRPr="005A5E66">
        <w:rPr>
          <w:rFonts w:cs="Times New Roman"/>
          <w:sz w:val="28"/>
          <w:szCs w:val="28"/>
        </w:rPr>
        <w:t xml:space="preserve"> п</w:t>
      </w:r>
      <w:r w:rsidR="00BE694B" w:rsidRPr="005A5E66">
        <w:rPr>
          <w:rFonts w:cs="Times New Roman"/>
          <w:sz w:val="28"/>
          <w:szCs w:val="28"/>
        </w:rPr>
        <w:t>ункту</w:t>
      </w:r>
      <w:r w:rsidRPr="005A5E66">
        <w:rPr>
          <w:rFonts w:cs="Times New Roman"/>
          <w:sz w:val="28"/>
          <w:szCs w:val="28"/>
        </w:rPr>
        <w:t xml:space="preserve"> 12 ст</w:t>
      </w:r>
      <w:r w:rsidR="00BE694B" w:rsidRPr="005A5E66">
        <w:rPr>
          <w:rFonts w:cs="Times New Roman"/>
          <w:sz w:val="28"/>
          <w:szCs w:val="28"/>
        </w:rPr>
        <w:t>атті</w:t>
      </w:r>
      <w:r w:rsidRPr="005A5E66">
        <w:rPr>
          <w:rFonts w:cs="Times New Roman"/>
          <w:sz w:val="28"/>
          <w:szCs w:val="28"/>
        </w:rPr>
        <w:t xml:space="preserve"> 3 Закону №</w:t>
      </w:r>
      <w:r w:rsidR="00BE694B" w:rsidRPr="005A5E66">
        <w:rPr>
          <w:rFonts w:cs="Times New Roman"/>
          <w:sz w:val="28"/>
          <w:szCs w:val="28"/>
        </w:rPr>
        <w:t xml:space="preserve"> </w:t>
      </w:r>
      <w:r w:rsidRPr="005A5E66">
        <w:rPr>
          <w:rFonts w:cs="Times New Roman"/>
          <w:sz w:val="28"/>
          <w:szCs w:val="28"/>
        </w:rPr>
        <w:t xml:space="preserve">265, </w:t>
      </w:r>
      <w:r w:rsidR="00E35707" w:rsidRPr="005A5E66">
        <w:rPr>
          <w:rFonts w:cs="Times New Roman"/>
          <w:sz w:val="28"/>
          <w:szCs w:val="28"/>
        </w:rPr>
        <w:t>така діяльність зумовлює необхідність ведення ним обліку товарних запасів відповідно до вимог Порядку № 496</w:t>
      </w:r>
      <w:r w:rsidR="006414C8">
        <w:rPr>
          <w:rFonts w:cs="Times New Roman"/>
          <w:sz w:val="28"/>
          <w:szCs w:val="28"/>
        </w:rPr>
        <w:t xml:space="preserve"> </w:t>
      </w:r>
      <w:r w:rsidR="00987EED" w:rsidRPr="005A5E66">
        <w:rPr>
          <w:rFonts w:cs="Times New Roman"/>
          <w:sz w:val="28"/>
          <w:szCs w:val="28"/>
        </w:rPr>
        <w:t>н</w:t>
      </w:r>
      <w:r w:rsidRPr="005A5E66">
        <w:rPr>
          <w:rFonts w:cs="Times New Roman"/>
          <w:sz w:val="28"/>
          <w:szCs w:val="28"/>
        </w:rPr>
        <w:t xml:space="preserve">а загальних підставах щодо </w:t>
      </w:r>
      <w:r w:rsidR="00307C29" w:rsidRPr="005A5E66">
        <w:rPr>
          <w:rFonts w:cs="Times New Roman"/>
          <w:sz w:val="28"/>
          <w:szCs w:val="28"/>
        </w:rPr>
        <w:t xml:space="preserve">ведення </w:t>
      </w:r>
      <w:r w:rsidR="007152E6" w:rsidRPr="005A5E66">
        <w:rPr>
          <w:rFonts w:cs="Times New Roman"/>
          <w:sz w:val="28"/>
          <w:szCs w:val="28"/>
        </w:rPr>
        <w:t>обліку</w:t>
      </w:r>
      <w:r w:rsidR="00307C29" w:rsidRPr="005A5E66">
        <w:rPr>
          <w:rFonts w:cs="Times New Roman"/>
          <w:sz w:val="28"/>
          <w:szCs w:val="28"/>
        </w:rPr>
        <w:t xml:space="preserve"> товарних запасів</w:t>
      </w:r>
      <w:r w:rsidR="007152E6" w:rsidRPr="005A5E66">
        <w:rPr>
          <w:rFonts w:cs="Times New Roman"/>
          <w:sz w:val="28"/>
          <w:szCs w:val="28"/>
        </w:rPr>
        <w:t xml:space="preserve"> </w:t>
      </w:r>
      <w:r w:rsidRPr="005A5E66">
        <w:rPr>
          <w:rFonts w:cs="Times New Roman"/>
          <w:sz w:val="28"/>
          <w:szCs w:val="28"/>
        </w:rPr>
        <w:t>всіх видів та категорій товарів</w:t>
      </w:r>
      <w:r w:rsidR="002C6CAB" w:rsidRPr="005A5E66">
        <w:rPr>
          <w:rFonts w:cs="Times New Roman"/>
          <w:sz w:val="28"/>
          <w:szCs w:val="28"/>
        </w:rPr>
        <w:t xml:space="preserve"> та</w:t>
      </w:r>
      <w:r w:rsidR="00BE694B" w:rsidRPr="005A5E66">
        <w:rPr>
          <w:rFonts w:cs="Times New Roman"/>
          <w:sz w:val="28"/>
          <w:szCs w:val="28"/>
        </w:rPr>
        <w:t xml:space="preserve"> </w:t>
      </w:r>
      <w:r w:rsidR="002C6CAB" w:rsidRPr="005A5E66">
        <w:rPr>
          <w:sz w:val="28"/>
          <w:szCs w:val="28"/>
        </w:rPr>
        <w:t xml:space="preserve">збереження </w:t>
      </w:r>
      <w:r w:rsidR="001966BA" w:rsidRPr="005A5E66">
        <w:rPr>
          <w:rFonts w:cs="Times New Roman"/>
          <w:sz w:val="28"/>
          <w:szCs w:val="28"/>
          <w:lang w:eastAsia="uk-UA"/>
        </w:rPr>
        <w:t>документів, які підтверджують облік та походження товарів</w:t>
      </w:r>
      <w:r w:rsidR="002C6CAB" w:rsidRPr="005A5E66">
        <w:rPr>
          <w:sz w:val="28"/>
          <w:szCs w:val="28"/>
        </w:rPr>
        <w:t xml:space="preserve">. </w:t>
      </w:r>
    </w:p>
    <w:p w14:paraId="3EA9E28D" w14:textId="346E9185" w:rsidR="001B3FBC" w:rsidRPr="005A5E66" w:rsidRDefault="001B3FBC" w:rsidP="005A5E66">
      <w:pPr>
        <w:ind w:left="284" w:right="-284" w:firstLine="567"/>
        <w:jc w:val="both"/>
        <w:rPr>
          <w:sz w:val="28"/>
          <w:szCs w:val="28"/>
          <w:lang w:val="uk-UA"/>
        </w:rPr>
      </w:pPr>
      <w:r w:rsidRPr="005A5E66">
        <w:rPr>
          <w:sz w:val="28"/>
          <w:szCs w:val="28"/>
          <w:lang w:val="uk-UA"/>
        </w:rPr>
        <w:t xml:space="preserve">При цьому обов’язок ведення обліку товарних запасів виникає щодо всіх товарів, які перебувають у реалізації </w:t>
      </w:r>
      <w:r w:rsidR="00E35707" w:rsidRPr="005A5E66">
        <w:rPr>
          <w:sz w:val="28"/>
          <w:szCs w:val="28"/>
          <w:lang w:val="uk-UA"/>
        </w:rPr>
        <w:t xml:space="preserve">за кожним місцем продажу </w:t>
      </w:r>
      <w:r w:rsidR="00E35707" w:rsidRPr="005A5E66">
        <w:rPr>
          <w:sz w:val="28"/>
          <w:szCs w:val="28"/>
          <w:lang w:val="uk-UA" w:eastAsia="uk-UA"/>
        </w:rPr>
        <w:t>(господарським об’єктом)</w:t>
      </w:r>
      <w:r w:rsidR="0042039B" w:rsidRPr="005A5E66">
        <w:rPr>
          <w:sz w:val="28"/>
          <w:szCs w:val="28"/>
          <w:lang w:val="uk-UA"/>
        </w:rPr>
        <w:t xml:space="preserve">. </w:t>
      </w:r>
    </w:p>
    <w:p w14:paraId="30080C84" w14:textId="1ADABB60" w:rsidR="00DD0F87" w:rsidRPr="005A5E66" w:rsidRDefault="00CB1958" w:rsidP="005A5E66">
      <w:pPr>
        <w:ind w:left="284" w:right="-284" w:firstLine="567"/>
        <w:jc w:val="both"/>
        <w:rPr>
          <w:sz w:val="28"/>
          <w:szCs w:val="28"/>
          <w:lang w:val="uk-UA"/>
        </w:rPr>
      </w:pPr>
      <w:r w:rsidRPr="005A5E66">
        <w:rPr>
          <w:sz w:val="28"/>
          <w:szCs w:val="28"/>
          <w:lang w:val="uk-UA"/>
        </w:rPr>
        <w:t>Згідно з пунктом</w:t>
      </w:r>
      <w:r w:rsidR="00DD0F87" w:rsidRPr="005A5E66">
        <w:rPr>
          <w:sz w:val="28"/>
          <w:szCs w:val="28"/>
          <w:lang w:val="uk-UA"/>
        </w:rPr>
        <w:t xml:space="preserve"> 52.2 статті 52 Кодексу податкова консультація має індивідуальний характер, діє в межах законодавства, яке було чинним на момент надання такої консультації і може використовуватися виключно платником податків, якому надано таку консультацію.</w:t>
      </w:r>
      <w:r w:rsidRPr="005A5E66">
        <w:rPr>
          <w:sz w:val="28"/>
          <w:szCs w:val="28"/>
          <w:lang w:val="uk-UA"/>
        </w:rPr>
        <w:t xml:space="preserve"> </w:t>
      </w:r>
    </w:p>
    <w:p w14:paraId="4993AD7B" w14:textId="375F5B2B" w:rsidR="00607BEA" w:rsidRPr="005A5E66" w:rsidRDefault="00607BEA" w:rsidP="005A5E66">
      <w:pPr>
        <w:ind w:left="284" w:right="-284" w:firstLine="567"/>
        <w:jc w:val="both"/>
        <w:rPr>
          <w:sz w:val="28"/>
          <w:szCs w:val="28"/>
          <w:lang w:val="uk-UA"/>
        </w:rPr>
      </w:pPr>
    </w:p>
    <w:p w14:paraId="6039499A" w14:textId="77777777" w:rsidR="00B4262D" w:rsidRPr="005A5E66" w:rsidRDefault="00B4262D" w:rsidP="005A5E66">
      <w:pPr>
        <w:ind w:left="284" w:right="-284" w:firstLine="567"/>
        <w:jc w:val="both"/>
        <w:rPr>
          <w:sz w:val="28"/>
          <w:szCs w:val="28"/>
          <w:lang w:val="uk-UA"/>
        </w:rPr>
      </w:pPr>
    </w:p>
    <w:p w14:paraId="1F9D77C1" w14:textId="77777777" w:rsidR="00EE5EC4" w:rsidRDefault="00EE5EC4" w:rsidP="005A5E66">
      <w:pPr>
        <w:ind w:left="284" w:right="-284"/>
        <w:contextualSpacing/>
        <w:jc w:val="both"/>
        <w:rPr>
          <w:sz w:val="28"/>
          <w:szCs w:val="28"/>
          <w:lang w:val="uk-UA"/>
        </w:rPr>
      </w:pPr>
    </w:p>
    <w:p w14:paraId="0619E4D9" w14:textId="77777777" w:rsidR="00EE5EC4" w:rsidRDefault="00EE5EC4" w:rsidP="005A5E66">
      <w:pPr>
        <w:ind w:left="284" w:right="-284"/>
        <w:contextualSpacing/>
        <w:jc w:val="both"/>
        <w:rPr>
          <w:rFonts w:eastAsia="Calibri"/>
          <w:lang w:val="uk-UA"/>
        </w:rPr>
      </w:pPr>
    </w:p>
    <w:p w14:paraId="329B1A19" w14:textId="77777777" w:rsidR="00EE5EC4" w:rsidRDefault="00EE5EC4" w:rsidP="005A5E66">
      <w:pPr>
        <w:ind w:left="284" w:right="-284"/>
        <w:contextualSpacing/>
        <w:jc w:val="both"/>
        <w:rPr>
          <w:rFonts w:eastAsia="Calibri"/>
          <w:lang w:val="uk-UA"/>
        </w:rPr>
      </w:pPr>
    </w:p>
    <w:p w14:paraId="0AF48F15" w14:textId="77777777" w:rsidR="00EE5EC4" w:rsidRDefault="00EE5EC4" w:rsidP="005A5E66">
      <w:pPr>
        <w:ind w:left="284" w:right="-284"/>
        <w:contextualSpacing/>
        <w:jc w:val="both"/>
        <w:rPr>
          <w:rFonts w:eastAsia="Calibri"/>
          <w:lang w:val="uk-UA"/>
        </w:rPr>
      </w:pPr>
    </w:p>
    <w:p w14:paraId="22F08CDB" w14:textId="77777777" w:rsidR="00EE5EC4" w:rsidRDefault="00EE5EC4" w:rsidP="005A5E66">
      <w:pPr>
        <w:ind w:left="284" w:right="-284"/>
        <w:contextualSpacing/>
        <w:jc w:val="both"/>
        <w:rPr>
          <w:rFonts w:eastAsia="Calibri"/>
          <w:lang w:val="uk-UA"/>
        </w:rPr>
      </w:pPr>
    </w:p>
    <w:p w14:paraId="388C310D" w14:textId="77777777" w:rsidR="00EE5EC4" w:rsidRDefault="00EE5EC4" w:rsidP="005A5E66">
      <w:pPr>
        <w:ind w:left="284" w:right="-284"/>
        <w:contextualSpacing/>
        <w:jc w:val="both"/>
        <w:rPr>
          <w:rFonts w:eastAsia="Calibri"/>
          <w:lang w:val="uk-UA"/>
        </w:rPr>
      </w:pPr>
    </w:p>
    <w:p w14:paraId="16E4A822" w14:textId="77777777" w:rsidR="00EE5EC4" w:rsidRDefault="00EE5EC4" w:rsidP="005A5E66">
      <w:pPr>
        <w:ind w:left="284" w:right="-284"/>
        <w:contextualSpacing/>
        <w:jc w:val="both"/>
        <w:rPr>
          <w:rFonts w:eastAsia="Calibri"/>
          <w:lang w:val="uk-UA"/>
        </w:rPr>
      </w:pPr>
    </w:p>
    <w:p w14:paraId="375DB1CA" w14:textId="77777777" w:rsidR="00EE5EC4" w:rsidRDefault="00EE5EC4" w:rsidP="005A5E66">
      <w:pPr>
        <w:ind w:left="284" w:right="-284"/>
        <w:contextualSpacing/>
        <w:jc w:val="both"/>
        <w:rPr>
          <w:rFonts w:eastAsia="Calibri"/>
          <w:lang w:val="uk-UA"/>
        </w:rPr>
      </w:pPr>
    </w:p>
    <w:p w14:paraId="1431D166" w14:textId="77777777" w:rsidR="00EE5EC4" w:rsidRDefault="00EE5EC4" w:rsidP="005A5E66">
      <w:pPr>
        <w:ind w:left="284" w:right="-284"/>
        <w:contextualSpacing/>
        <w:jc w:val="both"/>
        <w:rPr>
          <w:rFonts w:eastAsia="Calibri"/>
          <w:lang w:val="uk-UA"/>
        </w:rPr>
      </w:pPr>
    </w:p>
    <w:p w14:paraId="2E31CBAA" w14:textId="77777777" w:rsidR="00EE5EC4" w:rsidRDefault="00EE5EC4" w:rsidP="005A5E66">
      <w:pPr>
        <w:ind w:left="284" w:right="-284"/>
        <w:contextualSpacing/>
        <w:jc w:val="both"/>
        <w:rPr>
          <w:rFonts w:eastAsia="Calibri"/>
          <w:lang w:val="uk-UA"/>
        </w:rPr>
      </w:pPr>
    </w:p>
    <w:p w14:paraId="237C1EB9" w14:textId="77777777" w:rsidR="00EE5EC4" w:rsidRDefault="00EE5EC4" w:rsidP="005A5E66">
      <w:pPr>
        <w:ind w:left="284" w:right="-284"/>
        <w:contextualSpacing/>
        <w:jc w:val="both"/>
        <w:rPr>
          <w:rFonts w:eastAsia="Calibri"/>
          <w:lang w:val="uk-UA"/>
        </w:rPr>
      </w:pPr>
    </w:p>
    <w:p w14:paraId="5E2F1EED" w14:textId="77777777" w:rsidR="00EE5EC4" w:rsidRDefault="00EE5EC4" w:rsidP="005A5E66">
      <w:pPr>
        <w:ind w:left="284" w:right="-284"/>
        <w:contextualSpacing/>
        <w:jc w:val="both"/>
        <w:rPr>
          <w:rFonts w:eastAsia="Calibri"/>
          <w:lang w:val="uk-UA"/>
        </w:rPr>
      </w:pPr>
    </w:p>
    <w:p w14:paraId="1B2E3048" w14:textId="77777777" w:rsidR="00EE5EC4" w:rsidRDefault="00EE5EC4" w:rsidP="005A5E66">
      <w:pPr>
        <w:ind w:left="284" w:right="-284"/>
        <w:contextualSpacing/>
        <w:jc w:val="both"/>
        <w:rPr>
          <w:rFonts w:eastAsia="Calibri"/>
          <w:lang w:val="uk-UA"/>
        </w:rPr>
      </w:pPr>
    </w:p>
    <w:p w14:paraId="1A75CD01" w14:textId="47BC3AF2" w:rsidR="009973AC" w:rsidRPr="005A5E66" w:rsidRDefault="009973AC" w:rsidP="005A5E66">
      <w:pPr>
        <w:ind w:left="284" w:right="-284"/>
        <w:contextualSpacing/>
        <w:jc w:val="both"/>
        <w:rPr>
          <w:rFonts w:eastAsia="Calibri"/>
          <w:lang w:val="uk-UA"/>
        </w:rPr>
      </w:pPr>
      <w:r w:rsidRPr="005A5E66">
        <w:rPr>
          <w:rFonts w:eastAsia="Calibri"/>
          <w:lang w:val="uk-UA"/>
        </w:rPr>
        <w:t>_________________________________________________________</w:t>
      </w:r>
      <w:r w:rsidR="001C309A" w:rsidRPr="005A5E66">
        <w:rPr>
          <w:rFonts w:eastAsia="Calibri"/>
          <w:lang w:val="uk-UA"/>
        </w:rPr>
        <w:t>___</w:t>
      </w:r>
      <w:r w:rsidRPr="005A5E66">
        <w:rPr>
          <w:rFonts w:eastAsia="Calibri"/>
          <w:lang w:val="uk-UA"/>
        </w:rPr>
        <w:t>____________________</w:t>
      </w:r>
    </w:p>
    <w:p w14:paraId="34464ECB" w14:textId="77777777" w:rsidR="009973AC" w:rsidRPr="005A5E66" w:rsidRDefault="009973AC" w:rsidP="005A5E66">
      <w:pPr>
        <w:ind w:left="284" w:right="-284"/>
        <w:contextualSpacing/>
        <w:jc w:val="both"/>
        <w:rPr>
          <w:rFonts w:eastAsia="Calibri"/>
          <w:sz w:val="20"/>
          <w:szCs w:val="20"/>
          <w:lang w:val="uk-UA"/>
        </w:rPr>
      </w:pPr>
      <w:r w:rsidRPr="005A5E66">
        <w:rPr>
          <w:rFonts w:eastAsia="Calibri"/>
          <w:sz w:val="20"/>
          <w:szCs w:val="20"/>
          <w:lang w:val="uk-UA"/>
        </w:rPr>
        <w:t>Ця індивідуальна податкова консультація діє до зміни/втрати чинності норм законодавства, щодо яких надано індивідуальну податкову консультацію.</w:t>
      </w:r>
    </w:p>
    <w:sectPr w:rsidR="009973AC" w:rsidRPr="005A5E66" w:rsidSect="00F14777">
      <w:headerReference w:type="default" r:id="rId7"/>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A9BBC" w14:textId="77777777" w:rsidR="00074B04" w:rsidRDefault="00074B04" w:rsidP="00773A7B">
      <w:r>
        <w:separator/>
      </w:r>
    </w:p>
  </w:endnote>
  <w:endnote w:type="continuationSeparator" w:id="0">
    <w:p w14:paraId="6BFE0A6C" w14:textId="77777777" w:rsidR="00074B04" w:rsidRDefault="00074B04" w:rsidP="00773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CE404" w14:textId="77777777" w:rsidR="00074B04" w:rsidRDefault="00074B04" w:rsidP="00773A7B">
      <w:r>
        <w:separator/>
      </w:r>
    </w:p>
  </w:footnote>
  <w:footnote w:type="continuationSeparator" w:id="0">
    <w:p w14:paraId="78ADFF1B" w14:textId="77777777" w:rsidR="00074B04" w:rsidRDefault="00074B04" w:rsidP="00773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901656"/>
      <w:docPartObj>
        <w:docPartGallery w:val="Page Numbers (Top of Page)"/>
        <w:docPartUnique/>
      </w:docPartObj>
    </w:sdtPr>
    <w:sdtEndPr/>
    <w:sdtContent>
      <w:p w14:paraId="728706CC" w14:textId="03C054C8" w:rsidR="00773A7B" w:rsidRDefault="00773A7B">
        <w:pPr>
          <w:pStyle w:val="a3"/>
          <w:jc w:val="center"/>
        </w:pPr>
        <w:r>
          <w:fldChar w:fldCharType="begin"/>
        </w:r>
        <w:r>
          <w:instrText>PAGE   \* MERGEFORMAT</w:instrText>
        </w:r>
        <w:r>
          <w:fldChar w:fldCharType="separate"/>
        </w:r>
        <w:r>
          <w:rPr>
            <w:lang w:val="uk-UA"/>
          </w:rPr>
          <w:t>2</w:t>
        </w:r>
        <w:r>
          <w:fldChar w:fldCharType="end"/>
        </w:r>
      </w:p>
    </w:sdtContent>
  </w:sdt>
  <w:p w14:paraId="1196B1AC" w14:textId="77777777" w:rsidR="00773A7B" w:rsidRDefault="00773A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92"/>
    <w:rsid w:val="00060101"/>
    <w:rsid w:val="000743DF"/>
    <w:rsid w:val="00074B04"/>
    <w:rsid w:val="00093FF2"/>
    <w:rsid w:val="000E622C"/>
    <w:rsid w:val="001053D0"/>
    <w:rsid w:val="00130053"/>
    <w:rsid w:val="00172B98"/>
    <w:rsid w:val="001731A4"/>
    <w:rsid w:val="0017655A"/>
    <w:rsid w:val="001966BA"/>
    <w:rsid w:val="001B3FBC"/>
    <w:rsid w:val="001C309A"/>
    <w:rsid w:val="001F3F6B"/>
    <w:rsid w:val="00234859"/>
    <w:rsid w:val="002413E2"/>
    <w:rsid w:val="002852FD"/>
    <w:rsid w:val="002A0F67"/>
    <w:rsid w:val="002B451D"/>
    <w:rsid w:val="002B7EEC"/>
    <w:rsid w:val="002C6593"/>
    <w:rsid w:val="002C6CAB"/>
    <w:rsid w:val="002D3D7F"/>
    <w:rsid w:val="002D4959"/>
    <w:rsid w:val="002D7C88"/>
    <w:rsid w:val="002E670C"/>
    <w:rsid w:val="00302055"/>
    <w:rsid w:val="00307C29"/>
    <w:rsid w:val="00314239"/>
    <w:rsid w:val="003160EA"/>
    <w:rsid w:val="00326C5B"/>
    <w:rsid w:val="00340FA9"/>
    <w:rsid w:val="003465C4"/>
    <w:rsid w:val="00363845"/>
    <w:rsid w:val="0036539E"/>
    <w:rsid w:val="0037108D"/>
    <w:rsid w:val="00396852"/>
    <w:rsid w:val="003D2100"/>
    <w:rsid w:val="00413817"/>
    <w:rsid w:val="0042039B"/>
    <w:rsid w:val="00460294"/>
    <w:rsid w:val="0047114A"/>
    <w:rsid w:val="00475D40"/>
    <w:rsid w:val="00486B15"/>
    <w:rsid w:val="004A7CA4"/>
    <w:rsid w:val="004E4946"/>
    <w:rsid w:val="005015BE"/>
    <w:rsid w:val="005028B4"/>
    <w:rsid w:val="00530F4A"/>
    <w:rsid w:val="00531034"/>
    <w:rsid w:val="0054686E"/>
    <w:rsid w:val="00546B51"/>
    <w:rsid w:val="00561289"/>
    <w:rsid w:val="005A13E7"/>
    <w:rsid w:val="005A5E66"/>
    <w:rsid w:val="005C4B04"/>
    <w:rsid w:val="005E0BB8"/>
    <w:rsid w:val="005E2415"/>
    <w:rsid w:val="00607BEA"/>
    <w:rsid w:val="00631606"/>
    <w:rsid w:val="006414C8"/>
    <w:rsid w:val="00660F40"/>
    <w:rsid w:val="0067487C"/>
    <w:rsid w:val="006853D9"/>
    <w:rsid w:val="0069020B"/>
    <w:rsid w:val="006913B4"/>
    <w:rsid w:val="00697992"/>
    <w:rsid w:val="006A4041"/>
    <w:rsid w:val="006A58F2"/>
    <w:rsid w:val="006E3F41"/>
    <w:rsid w:val="006F1324"/>
    <w:rsid w:val="00701389"/>
    <w:rsid w:val="007152E6"/>
    <w:rsid w:val="00716A00"/>
    <w:rsid w:val="00773A7B"/>
    <w:rsid w:val="007A690A"/>
    <w:rsid w:val="007D183F"/>
    <w:rsid w:val="007F4F74"/>
    <w:rsid w:val="007F76A0"/>
    <w:rsid w:val="00836B83"/>
    <w:rsid w:val="00842CF6"/>
    <w:rsid w:val="00876638"/>
    <w:rsid w:val="008A3C9C"/>
    <w:rsid w:val="008A7F34"/>
    <w:rsid w:val="00911240"/>
    <w:rsid w:val="00922FA7"/>
    <w:rsid w:val="00944B79"/>
    <w:rsid w:val="009677C2"/>
    <w:rsid w:val="009750C9"/>
    <w:rsid w:val="0097673C"/>
    <w:rsid w:val="00987EED"/>
    <w:rsid w:val="009973AC"/>
    <w:rsid w:val="009D3C51"/>
    <w:rsid w:val="009E7ADA"/>
    <w:rsid w:val="009F04F9"/>
    <w:rsid w:val="00A07B32"/>
    <w:rsid w:val="00A3539A"/>
    <w:rsid w:val="00A81A96"/>
    <w:rsid w:val="00AB2CE1"/>
    <w:rsid w:val="00B4262D"/>
    <w:rsid w:val="00B64085"/>
    <w:rsid w:val="00B711A2"/>
    <w:rsid w:val="00B726CB"/>
    <w:rsid w:val="00BA1B33"/>
    <w:rsid w:val="00BA3DBA"/>
    <w:rsid w:val="00BA7878"/>
    <w:rsid w:val="00BB2342"/>
    <w:rsid w:val="00BB4658"/>
    <w:rsid w:val="00BC17F3"/>
    <w:rsid w:val="00BD1100"/>
    <w:rsid w:val="00BE694B"/>
    <w:rsid w:val="00BE76FA"/>
    <w:rsid w:val="00BF560A"/>
    <w:rsid w:val="00C07410"/>
    <w:rsid w:val="00C42CE9"/>
    <w:rsid w:val="00C43CF4"/>
    <w:rsid w:val="00C50AF7"/>
    <w:rsid w:val="00C97995"/>
    <w:rsid w:val="00CB1958"/>
    <w:rsid w:val="00CC4F18"/>
    <w:rsid w:val="00D21160"/>
    <w:rsid w:val="00D36386"/>
    <w:rsid w:val="00D5093B"/>
    <w:rsid w:val="00D649F8"/>
    <w:rsid w:val="00D67E1A"/>
    <w:rsid w:val="00DD0F87"/>
    <w:rsid w:val="00DD12C8"/>
    <w:rsid w:val="00DF292D"/>
    <w:rsid w:val="00DF376A"/>
    <w:rsid w:val="00E241C0"/>
    <w:rsid w:val="00E35707"/>
    <w:rsid w:val="00E40A80"/>
    <w:rsid w:val="00E66FF7"/>
    <w:rsid w:val="00E97F26"/>
    <w:rsid w:val="00EB4790"/>
    <w:rsid w:val="00EC36AA"/>
    <w:rsid w:val="00EE5EC4"/>
    <w:rsid w:val="00F14777"/>
    <w:rsid w:val="00F1483E"/>
    <w:rsid w:val="00F351A4"/>
    <w:rsid w:val="00F46136"/>
    <w:rsid w:val="00F871C3"/>
    <w:rsid w:val="00F957B3"/>
    <w:rsid w:val="00FD6F16"/>
    <w:rsid w:val="00FE45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3445"/>
  <w15:chartTrackingRefBased/>
  <w15:docId w15:val="{921036E7-BEFB-49C4-A0E3-D9BE1AAC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0F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DD0F87"/>
    <w:rPr>
      <w:rFonts w:ascii="Times New Roman" w:eastAsia="Times New Roman" w:hAnsi="Times New Roman"/>
      <w:sz w:val="26"/>
      <w:szCs w:val="26"/>
      <w:shd w:val="clear" w:color="auto" w:fill="FFFFFF"/>
    </w:rPr>
  </w:style>
  <w:style w:type="paragraph" w:customStyle="1" w:styleId="20">
    <w:name w:val="Основной текст (2)"/>
    <w:basedOn w:val="a"/>
    <w:link w:val="2"/>
    <w:qFormat/>
    <w:rsid w:val="00DD0F87"/>
    <w:pPr>
      <w:widowControl w:val="0"/>
      <w:shd w:val="clear" w:color="auto" w:fill="FFFFFF"/>
      <w:spacing w:after="300" w:line="317" w:lineRule="exact"/>
    </w:pPr>
    <w:rPr>
      <w:rFonts w:cstheme="minorBidi"/>
      <w:sz w:val="26"/>
      <w:szCs w:val="26"/>
      <w:lang w:val="uk-UA" w:eastAsia="en-US"/>
    </w:rPr>
  </w:style>
  <w:style w:type="paragraph" w:customStyle="1" w:styleId="1">
    <w:name w:val="Без интервала1"/>
    <w:qFormat/>
    <w:rsid w:val="00DD0F87"/>
    <w:pPr>
      <w:spacing w:after="0" w:line="240" w:lineRule="auto"/>
    </w:pPr>
    <w:rPr>
      <w:rFonts w:ascii="Calibri" w:eastAsia="Times New Roman" w:hAnsi="Calibri" w:cs="Times New Roman"/>
      <w:lang w:val="ru-RU" w:eastAsia="ru-RU"/>
    </w:rPr>
  </w:style>
  <w:style w:type="paragraph" w:customStyle="1" w:styleId="Default">
    <w:name w:val="Default"/>
    <w:rsid w:val="00DD0F8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3">
    <w:name w:val="header"/>
    <w:basedOn w:val="a"/>
    <w:link w:val="a4"/>
    <w:uiPriority w:val="99"/>
    <w:unhideWhenUsed/>
    <w:rsid w:val="00773A7B"/>
    <w:pPr>
      <w:tabs>
        <w:tab w:val="center" w:pos="4819"/>
        <w:tab w:val="right" w:pos="9639"/>
      </w:tabs>
    </w:pPr>
  </w:style>
  <w:style w:type="character" w:customStyle="1" w:styleId="a4">
    <w:name w:val="Верхній колонтитул Знак"/>
    <w:basedOn w:val="a0"/>
    <w:link w:val="a3"/>
    <w:uiPriority w:val="99"/>
    <w:rsid w:val="00773A7B"/>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73A7B"/>
    <w:pPr>
      <w:tabs>
        <w:tab w:val="center" w:pos="4819"/>
        <w:tab w:val="right" w:pos="9639"/>
      </w:tabs>
    </w:pPr>
  </w:style>
  <w:style w:type="character" w:customStyle="1" w:styleId="a6">
    <w:name w:val="Нижній колонтитул Знак"/>
    <w:basedOn w:val="a0"/>
    <w:link w:val="a5"/>
    <w:uiPriority w:val="99"/>
    <w:rsid w:val="00773A7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1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C2B55-0DA9-4020-AB9D-66E5F2F6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3773</Words>
  <Characters>2151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ГРИВНАК АНДРІЙ ВОЛОДИМИРОВИЧ</dc:creator>
  <cp:keywords/>
  <dc:description/>
  <cp:lastModifiedBy>ГРИВНАК АНДРІЙ ВОЛОДИМИРОВИЧ</cp:lastModifiedBy>
  <cp:revision>186</cp:revision>
  <dcterms:created xsi:type="dcterms:W3CDTF">2025-09-02T09:08:00Z</dcterms:created>
  <dcterms:modified xsi:type="dcterms:W3CDTF">2026-04-08T11:16:00Z</dcterms:modified>
</cp:coreProperties>
</file>