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5769F2" w14:textId="77777777" w:rsidR="00C52C42" w:rsidRPr="00D60E1D" w:rsidRDefault="00C52C42" w:rsidP="00D60E1D">
      <w:pPr>
        <w:spacing w:after="0" w:line="226" w:lineRule="auto"/>
        <w:ind w:firstLine="567"/>
        <w:jc w:val="center"/>
        <w:rPr>
          <w:rFonts w:ascii="Times New Roman" w:eastAsia="Times New Roman" w:hAnsi="Times New Roman" w:cs="Times New Roman"/>
          <w:spacing w:val="-10"/>
          <w:sz w:val="14"/>
          <w:szCs w:val="14"/>
          <w:lang w:eastAsia="ru-RU"/>
        </w:rPr>
      </w:pPr>
    </w:p>
    <w:p w14:paraId="437FD825" w14:textId="69C719EC" w:rsidR="00F71A3F" w:rsidRDefault="00F71A3F" w:rsidP="003368B7">
      <w:pPr>
        <w:spacing w:after="0" w:line="240" w:lineRule="auto"/>
        <w:ind w:firstLine="567"/>
        <w:jc w:val="center"/>
        <w:rPr>
          <w:rFonts w:ascii="Times New Roman" w:eastAsia="Times New Roman" w:hAnsi="Times New Roman" w:cs="Times New Roman"/>
          <w:spacing w:val="-10"/>
          <w:sz w:val="28"/>
          <w:szCs w:val="28"/>
          <w:lang w:eastAsia="ru-RU"/>
        </w:rPr>
      </w:pPr>
      <w:r w:rsidRPr="00D60E1D">
        <w:rPr>
          <w:rFonts w:ascii="Times New Roman" w:eastAsia="Times New Roman" w:hAnsi="Times New Roman" w:cs="Times New Roman"/>
          <w:spacing w:val="-10"/>
          <w:sz w:val="28"/>
          <w:szCs w:val="28"/>
          <w:lang w:eastAsia="ru-RU"/>
        </w:rPr>
        <w:t>Індивідуальна податкова консультація</w:t>
      </w:r>
    </w:p>
    <w:p w14:paraId="163A6B26" w14:textId="77777777" w:rsidR="005B6E18" w:rsidRPr="00D60E1D" w:rsidRDefault="005B6E18" w:rsidP="003368B7">
      <w:pPr>
        <w:spacing w:after="0" w:line="240" w:lineRule="auto"/>
        <w:ind w:firstLine="567"/>
        <w:jc w:val="center"/>
        <w:rPr>
          <w:rFonts w:ascii="Times New Roman" w:eastAsia="Times New Roman" w:hAnsi="Times New Roman" w:cs="Times New Roman"/>
          <w:spacing w:val="-10"/>
          <w:sz w:val="28"/>
          <w:szCs w:val="28"/>
          <w:lang w:eastAsia="ru-RU"/>
        </w:rPr>
      </w:pPr>
    </w:p>
    <w:p w14:paraId="1A93D93D" w14:textId="77777777" w:rsidR="00F71A3F" w:rsidRPr="00D60E1D" w:rsidRDefault="00F71A3F" w:rsidP="003368B7">
      <w:pPr>
        <w:tabs>
          <w:tab w:val="left" w:pos="567"/>
        </w:tabs>
        <w:spacing w:after="0" w:line="240" w:lineRule="auto"/>
        <w:ind w:firstLine="567"/>
        <w:jc w:val="both"/>
        <w:rPr>
          <w:rFonts w:ascii="Times New Roman" w:eastAsia="Times New Roman" w:hAnsi="Times New Roman" w:cs="Times New Roman"/>
          <w:spacing w:val="-10"/>
          <w:sz w:val="10"/>
          <w:szCs w:val="10"/>
          <w:lang w:eastAsia="ru-RU"/>
        </w:rPr>
      </w:pPr>
    </w:p>
    <w:p w14:paraId="3501ABD0" w14:textId="5FBCE177" w:rsidR="00F71A3F" w:rsidRPr="00076A4B" w:rsidRDefault="00F71A3F" w:rsidP="00076A4B">
      <w:pPr>
        <w:tabs>
          <w:tab w:val="left" w:pos="993"/>
        </w:tabs>
        <w:spacing w:after="0" w:line="240" w:lineRule="auto"/>
        <w:ind w:firstLine="567"/>
        <w:jc w:val="both"/>
        <w:rPr>
          <w:rFonts w:ascii="Times New Roman" w:eastAsia="Times New Roman" w:hAnsi="Times New Roman" w:cs="Times New Roman"/>
          <w:spacing w:val="-10"/>
          <w:sz w:val="28"/>
          <w:szCs w:val="28"/>
          <w:lang w:eastAsia="uk-UA"/>
        </w:rPr>
      </w:pPr>
      <w:r w:rsidRPr="00076A4B">
        <w:rPr>
          <w:rFonts w:ascii="Times New Roman" w:eastAsia="Times New Roman" w:hAnsi="Times New Roman" w:cs="Times New Roman"/>
          <w:spacing w:val="-10"/>
          <w:sz w:val="28"/>
          <w:szCs w:val="28"/>
          <w:lang w:eastAsia="ru-RU"/>
        </w:rPr>
        <w:t xml:space="preserve">Державна податкова служба України </w:t>
      </w:r>
      <w:proofErr w:type="spellStart"/>
      <w:r w:rsidRPr="00076A4B">
        <w:rPr>
          <w:rFonts w:ascii="Times New Roman" w:eastAsia="Times New Roman" w:hAnsi="Times New Roman" w:cs="Times New Roman"/>
          <w:spacing w:val="-10"/>
          <w:sz w:val="28"/>
          <w:szCs w:val="28"/>
          <w:lang w:val="ru-RU" w:eastAsia="ru-RU"/>
        </w:rPr>
        <w:t>розглянула</w:t>
      </w:r>
      <w:proofErr w:type="spellEnd"/>
      <w:r w:rsidRPr="00076A4B">
        <w:rPr>
          <w:rFonts w:ascii="Times New Roman" w:eastAsia="Times New Roman" w:hAnsi="Times New Roman" w:cs="Times New Roman"/>
          <w:spacing w:val="-10"/>
          <w:sz w:val="28"/>
          <w:szCs w:val="28"/>
          <w:lang w:val="ru-RU" w:eastAsia="ru-RU"/>
        </w:rPr>
        <w:t xml:space="preserve"> з</w:t>
      </w:r>
      <w:proofErr w:type="spellStart"/>
      <w:r w:rsidRPr="00076A4B">
        <w:rPr>
          <w:rFonts w:ascii="Times New Roman" w:eastAsia="Times New Roman" w:hAnsi="Times New Roman" w:cs="Times New Roman"/>
          <w:spacing w:val="-10"/>
          <w:sz w:val="28"/>
          <w:szCs w:val="28"/>
          <w:lang w:eastAsia="ru-RU"/>
        </w:rPr>
        <w:t>вернення</w:t>
      </w:r>
      <w:proofErr w:type="spellEnd"/>
      <w:r w:rsidRPr="00076A4B">
        <w:rPr>
          <w:rFonts w:ascii="Times New Roman" w:eastAsia="Times New Roman" w:hAnsi="Times New Roman" w:cs="Times New Roman"/>
          <w:spacing w:val="-10"/>
          <w:sz w:val="28"/>
          <w:szCs w:val="28"/>
          <w:lang w:eastAsia="ru-RU"/>
        </w:rPr>
        <w:t xml:space="preserve"> </w:t>
      </w:r>
      <w:r w:rsidR="00C5345F" w:rsidRPr="00076A4B">
        <w:rPr>
          <w:rFonts w:ascii="Times New Roman" w:eastAsia="Times New Roman" w:hAnsi="Times New Roman" w:cs="Times New Roman"/>
          <w:spacing w:val="-10"/>
          <w:sz w:val="28"/>
          <w:szCs w:val="28"/>
          <w:lang w:eastAsia="ru-RU"/>
        </w:rPr>
        <w:t>Міськ</w:t>
      </w:r>
      <w:r w:rsidR="00134F65">
        <w:rPr>
          <w:rFonts w:ascii="Times New Roman" w:eastAsia="Times New Roman" w:hAnsi="Times New Roman" w:cs="Times New Roman"/>
          <w:spacing w:val="-10"/>
          <w:sz w:val="28"/>
          <w:szCs w:val="28"/>
          <w:lang w:eastAsia="ru-RU"/>
        </w:rPr>
        <w:t>ої</w:t>
      </w:r>
      <w:r w:rsidR="00C5345F" w:rsidRPr="00076A4B">
        <w:rPr>
          <w:rFonts w:ascii="Times New Roman" w:eastAsia="Times New Roman" w:hAnsi="Times New Roman" w:cs="Times New Roman"/>
          <w:spacing w:val="-10"/>
          <w:sz w:val="28"/>
          <w:szCs w:val="28"/>
          <w:lang w:eastAsia="ru-RU"/>
        </w:rPr>
        <w:t xml:space="preserve"> рад</w:t>
      </w:r>
      <w:r w:rsidR="00134F65">
        <w:rPr>
          <w:rFonts w:ascii="Times New Roman" w:eastAsia="Times New Roman" w:hAnsi="Times New Roman" w:cs="Times New Roman"/>
          <w:spacing w:val="-10"/>
          <w:sz w:val="28"/>
          <w:szCs w:val="28"/>
          <w:lang w:eastAsia="ru-RU"/>
        </w:rPr>
        <w:t xml:space="preserve">и … </w:t>
      </w:r>
      <w:r w:rsidRPr="00076A4B">
        <w:rPr>
          <w:rFonts w:ascii="Times New Roman" w:eastAsia="Times New Roman" w:hAnsi="Times New Roman" w:cs="Times New Roman"/>
          <w:spacing w:val="-10"/>
          <w:sz w:val="28"/>
          <w:szCs w:val="28"/>
          <w:lang w:eastAsia="ru-RU"/>
        </w:rPr>
        <w:t>щодо надання індивідуальної податкової консультації</w:t>
      </w:r>
      <w:r w:rsidR="00C5345F" w:rsidRPr="00076A4B">
        <w:rPr>
          <w:rFonts w:ascii="Times New Roman" w:eastAsia="Times New Roman" w:hAnsi="Times New Roman" w:cs="Times New Roman"/>
          <w:spacing w:val="-10"/>
          <w:sz w:val="28"/>
          <w:szCs w:val="28"/>
          <w:lang w:eastAsia="ru-RU"/>
        </w:rPr>
        <w:t xml:space="preserve">  </w:t>
      </w:r>
      <w:r w:rsidRPr="00076A4B">
        <w:rPr>
          <w:rFonts w:ascii="Times New Roman" w:eastAsia="Times New Roman" w:hAnsi="Times New Roman" w:cs="Times New Roman"/>
          <w:spacing w:val="-10"/>
          <w:sz w:val="28"/>
          <w:szCs w:val="28"/>
          <w:lang w:eastAsia="uk-UA"/>
        </w:rPr>
        <w:t>з питання справляння податку на нерухоме майно, відмінне від земельної ділянки</w:t>
      </w:r>
      <w:r w:rsidR="00C5345F" w:rsidRPr="00076A4B">
        <w:rPr>
          <w:rFonts w:ascii="Times New Roman" w:eastAsia="Times New Roman" w:hAnsi="Times New Roman" w:cs="Times New Roman"/>
          <w:spacing w:val="-10"/>
          <w:sz w:val="28"/>
          <w:szCs w:val="28"/>
          <w:lang w:eastAsia="uk-UA"/>
        </w:rPr>
        <w:t xml:space="preserve">  </w:t>
      </w:r>
      <w:r w:rsidRPr="00076A4B">
        <w:rPr>
          <w:rFonts w:ascii="Times New Roman" w:eastAsia="Times New Roman" w:hAnsi="Times New Roman" w:cs="Times New Roman"/>
          <w:spacing w:val="-10"/>
          <w:sz w:val="28"/>
          <w:szCs w:val="28"/>
          <w:lang w:eastAsia="uk-UA"/>
        </w:rPr>
        <w:t>(далі – Податок), та, керуючись статтею </w:t>
      </w:r>
      <w:r w:rsidR="00753D78" w:rsidRPr="00076A4B">
        <w:rPr>
          <w:rFonts w:ascii="Times New Roman" w:eastAsia="Times New Roman" w:hAnsi="Times New Roman" w:cs="Times New Roman"/>
          <w:spacing w:val="-10"/>
          <w:sz w:val="28"/>
          <w:szCs w:val="28"/>
          <w:lang w:eastAsia="uk-UA"/>
        </w:rPr>
        <w:t xml:space="preserve">52 Податкового кодексу України </w:t>
      </w:r>
      <w:r w:rsidR="00BE0F40" w:rsidRPr="00076A4B">
        <w:rPr>
          <w:rFonts w:ascii="Times New Roman" w:eastAsia="Times New Roman" w:hAnsi="Times New Roman" w:cs="Times New Roman"/>
          <w:spacing w:val="-10"/>
          <w:sz w:val="28"/>
          <w:szCs w:val="28"/>
          <w:lang w:eastAsia="uk-UA"/>
        </w:rPr>
        <w:t xml:space="preserve"> </w:t>
      </w:r>
      <w:r w:rsidRPr="00076A4B">
        <w:rPr>
          <w:rFonts w:ascii="Times New Roman" w:eastAsia="Times New Roman" w:hAnsi="Times New Roman" w:cs="Times New Roman"/>
          <w:spacing w:val="-10"/>
          <w:sz w:val="28"/>
          <w:szCs w:val="28"/>
          <w:lang w:eastAsia="uk-UA"/>
        </w:rPr>
        <w:t>(далі – Кодекс), у межах компетенції повідомляє.</w:t>
      </w:r>
    </w:p>
    <w:p w14:paraId="1B42C10B" w14:textId="77777777" w:rsidR="005F28F9" w:rsidRDefault="005F28F9" w:rsidP="005F28F9">
      <w:pPr>
        <w:tabs>
          <w:tab w:val="left" w:pos="993"/>
        </w:tabs>
        <w:spacing w:after="0" w:line="240" w:lineRule="auto"/>
        <w:ind w:firstLine="567"/>
        <w:jc w:val="both"/>
        <w:rPr>
          <w:rFonts w:ascii="Times New Roman" w:eastAsia="Times New Roman" w:hAnsi="Times New Roman" w:cs="Times New Roman"/>
          <w:spacing w:val="-10"/>
          <w:sz w:val="28"/>
          <w:szCs w:val="28"/>
          <w:lang w:eastAsia="uk-UA"/>
        </w:rPr>
      </w:pPr>
      <w:r w:rsidRPr="00076A4B">
        <w:rPr>
          <w:rFonts w:ascii="Times New Roman" w:eastAsia="Times New Roman" w:hAnsi="Times New Roman" w:cs="Times New Roman"/>
          <w:spacing w:val="-10"/>
          <w:sz w:val="28"/>
          <w:szCs w:val="28"/>
          <w:lang w:eastAsia="uk-UA"/>
        </w:rPr>
        <w:t>Міська рада запитує</w:t>
      </w:r>
      <w:r>
        <w:rPr>
          <w:rFonts w:ascii="Times New Roman" w:eastAsia="Times New Roman" w:hAnsi="Times New Roman" w:cs="Times New Roman"/>
          <w:spacing w:val="-10"/>
          <w:sz w:val="28"/>
          <w:szCs w:val="28"/>
          <w:lang w:eastAsia="uk-UA"/>
        </w:rPr>
        <w:t>,</w:t>
      </w:r>
      <w:r w:rsidRPr="00076A4B">
        <w:rPr>
          <w:rFonts w:ascii="Times New Roman" w:eastAsia="Times New Roman" w:hAnsi="Times New Roman" w:cs="Times New Roman"/>
          <w:spacing w:val="-10"/>
          <w:sz w:val="28"/>
          <w:szCs w:val="28"/>
          <w:lang w:eastAsia="uk-UA"/>
        </w:rPr>
        <w:t xml:space="preserve"> </w:t>
      </w:r>
      <w:r>
        <w:rPr>
          <w:rFonts w:ascii="Times New Roman" w:eastAsia="Times New Roman" w:hAnsi="Times New Roman" w:cs="Times New Roman"/>
          <w:spacing w:val="-10"/>
          <w:sz w:val="28"/>
          <w:szCs w:val="28"/>
          <w:lang w:eastAsia="uk-UA"/>
        </w:rPr>
        <w:t xml:space="preserve">які наслідки виникають у разі отримання нерухомого майна за </w:t>
      </w:r>
      <w:r w:rsidRPr="00076A4B">
        <w:rPr>
          <w:rFonts w:ascii="Times New Roman" w:eastAsia="Times New Roman" w:hAnsi="Times New Roman" w:cs="Times New Roman"/>
          <w:spacing w:val="-10"/>
          <w:sz w:val="28"/>
          <w:szCs w:val="28"/>
          <w:lang w:eastAsia="uk-UA"/>
        </w:rPr>
        <w:t>договором дарування</w:t>
      </w:r>
      <w:r>
        <w:rPr>
          <w:rFonts w:ascii="Times New Roman" w:eastAsia="Times New Roman" w:hAnsi="Times New Roman" w:cs="Times New Roman"/>
          <w:spacing w:val="-10"/>
          <w:sz w:val="28"/>
          <w:szCs w:val="28"/>
          <w:lang w:eastAsia="uk-UA"/>
        </w:rPr>
        <w:t xml:space="preserve"> та </w:t>
      </w:r>
      <w:r w:rsidRPr="00076A4B">
        <w:rPr>
          <w:rFonts w:ascii="Times New Roman" w:eastAsia="Times New Roman" w:hAnsi="Times New Roman" w:cs="Times New Roman"/>
          <w:spacing w:val="-10"/>
          <w:sz w:val="28"/>
          <w:szCs w:val="28"/>
          <w:lang w:eastAsia="uk-UA"/>
        </w:rPr>
        <w:t xml:space="preserve">чи </w:t>
      </w:r>
      <w:r>
        <w:rPr>
          <w:rFonts w:ascii="Times New Roman" w:eastAsia="Times New Roman" w:hAnsi="Times New Roman" w:cs="Times New Roman"/>
          <w:spacing w:val="-10"/>
          <w:sz w:val="28"/>
          <w:szCs w:val="28"/>
          <w:lang w:eastAsia="uk-UA"/>
        </w:rPr>
        <w:t xml:space="preserve">зобов’язана вона сплачувати Податок, на підставі чого                          </w:t>
      </w:r>
      <w:r w:rsidRPr="00076A4B">
        <w:rPr>
          <w:rFonts w:ascii="Times New Roman" w:eastAsia="Times New Roman" w:hAnsi="Times New Roman" w:cs="Times New Roman"/>
          <w:spacing w:val="-10"/>
          <w:sz w:val="28"/>
          <w:szCs w:val="28"/>
          <w:lang w:eastAsia="uk-UA"/>
        </w:rPr>
        <w:t>і</w:t>
      </w:r>
      <w:r>
        <w:rPr>
          <w:rFonts w:ascii="Times New Roman" w:eastAsia="Times New Roman" w:hAnsi="Times New Roman" w:cs="Times New Roman"/>
          <w:spacing w:val="-10"/>
          <w:sz w:val="28"/>
          <w:szCs w:val="28"/>
          <w:lang w:eastAsia="uk-UA"/>
        </w:rPr>
        <w:t xml:space="preserve"> </w:t>
      </w:r>
      <w:r w:rsidRPr="00076A4B">
        <w:rPr>
          <w:rFonts w:ascii="Times New Roman" w:eastAsia="Times New Roman" w:hAnsi="Times New Roman" w:cs="Times New Roman"/>
          <w:spacing w:val="-10"/>
          <w:sz w:val="28"/>
          <w:szCs w:val="28"/>
          <w:lang w:eastAsia="uk-UA"/>
        </w:rPr>
        <w:t xml:space="preserve"> в якому розмірі</w:t>
      </w:r>
      <w:r>
        <w:rPr>
          <w:rFonts w:ascii="Times New Roman" w:eastAsia="Times New Roman" w:hAnsi="Times New Roman" w:cs="Times New Roman"/>
          <w:spacing w:val="-10"/>
          <w:sz w:val="28"/>
          <w:szCs w:val="28"/>
          <w:lang w:eastAsia="uk-UA"/>
        </w:rPr>
        <w:t>.</w:t>
      </w:r>
      <w:r w:rsidRPr="00076A4B">
        <w:rPr>
          <w:rFonts w:ascii="Times New Roman" w:eastAsia="Times New Roman" w:hAnsi="Times New Roman" w:cs="Times New Roman"/>
          <w:spacing w:val="-10"/>
          <w:sz w:val="28"/>
          <w:szCs w:val="28"/>
          <w:lang w:eastAsia="uk-UA"/>
        </w:rPr>
        <w:t xml:space="preserve"> </w:t>
      </w:r>
      <w:r>
        <w:rPr>
          <w:rFonts w:ascii="Times New Roman" w:eastAsia="Times New Roman" w:hAnsi="Times New Roman" w:cs="Times New Roman"/>
          <w:spacing w:val="-10"/>
          <w:sz w:val="28"/>
          <w:szCs w:val="28"/>
          <w:lang w:eastAsia="uk-UA"/>
        </w:rPr>
        <w:t xml:space="preserve"> </w:t>
      </w:r>
    </w:p>
    <w:p w14:paraId="48B12426" w14:textId="303CCD6A" w:rsidR="00F941EF" w:rsidRDefault="00F941EF" w:rsidP="00076A4B">
      <w:pPr>
        <w:tabs>
          <w:tab w:val="left" w:pos="993"/>
        </w:tabs>
        <w:spacing w:after="0" w:line="240" w:lineRule="auto"/>
        <w:ind w:firstLine="567"/>
        <w:jc w:val="both"/>
        <w:rPr>
          <w:rFonts w:ascii="Times New Roman" w:hAnsi="Times New Roman" w:cs="Times New Roman"/>
          <w:spacing w:val="-10"/>
          <w:sz w:val="28"/>
          <w:szCs w:val="28"/>
          <w:lang w:eastAsia="ru-RU"/>
        </w:rPr>
      </w:pPr>
      <w:bookmarkStart w:id="0" w:name="_GoBack"/>
      <w:bookmarkEnd w:id="0"/>
      <w:r w:rsidRPr="00076A4B">
        <w:rPr>
          <w:rFonts w:ascii="Times New Roman" w:hAnsi="Times New Roman" w:cs="Times New Roman"/>
          <w:spacing w:val="-10"/>
          <w:sz w:val="28"/>
          <w:szCs w:val="28"/>
          <w:lang w:eastAsia="ru-RU"/>
        </w:rPr>
        <w:t xml:space="preserve">Офіційне визнання і підтвердження державою фактів набуття, зміни та/або припинення речових прав на нерухоме майно та їх обтяжень здійснюється шляхом внесення відповідних відомостей до Державного реєстру речових прав на нерухоме майно відповідно до Закону України  від </w:t>
      </w:r>
      <w:r w:rsidR="008E3139">
        <w:rPr>
          <w:rFonts w:ascii="Times New Roman" w:hAnsi="Times New Roman" w:cs="Times New Roman"/>
          <w:spacing w:val="-10"/>
          <w:sz w:val="28"/>
          <w:szCs w:val="28"/>
          <w:lang w:eastAsia="ru-RU"/>
        </w:rPr>
        <w:t>0</w:t>
      </w:r>
      <w:r w:rsidRPr="00076A4B">
        <w:rPr>
          <w:rFonts w:ascii="Times New Roman" w:hAnsi="Times New Roman" w:cs="Times New Roman"/>
          <w:spacing w:val="-10"/>
          <w:sz w:val="28"/>
          <w:szCs w:val="28"/>
          <w:lang w:eastAsia="ru-RU"/>
        </w:rPr>
        <w:t>1</w:t>
      </w:r>
      <w:r w:rsidR="008E3139">
        <w:rPr>
          <w:rFonts w:ascii="Times New Roman" w:hAnsi="Times New Roman" w:cs="Times New Roman"/>
          <w:spacing w:val="-10"/>
          <w:sz w:val="28"/>
          <w:szCs w:val="28"/>
          <w:lang w:eastAsia="ru-RU"/>
        </w:rPr>
        <w:t>.07.</w:t>
      </w:r>
      <w:r w:rsidRPr="00076A4B">
        <w:rPr>
          <w:rFonts w:ascii="Times New Roman" w:hAnsi="Times New Roman" w:cs="Times New Roman"/>
          <w:spacing w:val="-10"/>
          <w:sz w:val="28"/>
          <w:szCs w:val="28"/>
          <w:lang w:eastAsia="ru-RU"/>
        </w:rPr>
        <w:t>2004 № 1952-</w:t>
      </w:r>
      <w:r w:rsidR="008E3139">
        <w:rPr>
          <w:rFonts w:ascii="Times New Roman" w:hAnsi="Times New Roman" w:cs="Times New Roman"/>
          <w:spacing w:val="-10"/>
          <w:sz w:val="28"/>
          <w:szCs w:val="28"/>
          <w:lang w:eastAsia="ru-RU"/>
        </w:rPr>
        <w:t>І</w:t>
      </w:r>
      <w:r w:rsidRPr="00076A4B">
        <w:rPr>
          <w:rFonts w:ascii="Times New Roman" w:hAnsi="Times New Roman" w:cs="Times New Roman"/>
          <w:spacing w:val="-10"/>
          <w:sz w:val="28"/>
          <w:szCs w:val="28"/>
          <w:lang w:val="en-US" w:eastAsia="ru-RU"/>
        </w:rPr>
        <w:t>V</w:t>
      </w:r>
      <w:r w:rsidRPr="00076A4B">
        <w:rPr>
          <w:rFonts w:ascii="Times New Roman" w:hAnsi="Times New Roman" w:cs="Times New Roman"/>
          <w:spacing w:val="-10"/>
          <w:sz w:val="28"/>
          <w:szCs w:val="28"/>
          <w:lang w:eastAsia="ru-RU"/>
        </w:rPr>
        <w:t xml:space="preserve"> «Про державну реєстрацію речових прав на нерухоме майно та їх обтяжень».</w:t>
      </w:r>
    </w:p>
    <w:p w14:paraId="6036A2F2" w14:textId="251A3924" w:rsidR="003175E4" w:rsidRPr="00076A4B" w:rsidRDefault="003175E4" w:rsidP="00076A4B">
      <w:pPr>
        <w:pStyle w:val="ac"/>
        <w:tabs>
          <w:tab w:val="left" w:pos="567"/>
        </w:tabs>
        <w:spacing w:before="0" w:beforeAutospacing="0" w:after="0" w:afterAutospacing="0"/>
        <w:ind w:firstLineChars="204" w:firstLine="551"/>
        <w:jc w:val="both"/>
        <w:rPr>
          <w:spacing w:val="-10"/>
          <w:sz w:val="28"/>
          <w:szCs w:val="28"/>
          <w:lang w:val="uk-UA"/>
        </w:rPr>
      </w:pPr>
      <w:r w:rsidRPr="00076A4B">
        <w:rPr>
          <w:spacing w:val="-10"/>
          <w:sz w:val="28"/>
          <w:szCs w:val="28"/>
          <w:lang w:val="uk-UA"/>
        </w:rPr>
        <w:t>Порядок нарахування та сплати Податку з об’єктів нежитлової та/або житлової нерухомості врегульовано статтею 266 Кодексу.</w:t>
      </w:r>
    </w:p>
    <w:p w14:paraId="2B1603F8" w14:textId="5CDFFC34" w:rsidR="003175E4" w:rsidRPr="00076A4B" w:rsidRDefault="00D3049A" w:rsidP="00076A4B">
      <w:pPr>
        <w:shd w:val="clear" w:color="auto" w:fill="FFFFFF" w:themeFill="background1"/>
        <w:tabs>
          <w:tab w:val="left" w:pos="567"/>
        </w:tabs>
        <w:spacing w:after="0" w:line="240" w:lineRule="auto"/>
        <w:ind w:firstLineChars="204" w:firstLine="551"/>
        <w:jc w:val="both"/>
        <w:rPr>
          <w:rFonts w:ascii="Times New Roman" w:hAnsi="Times New Roman" w:cs="Times New Roman"/>
          <w:spacing w:val="-10"/>
          <w:sz w:val="28"/>
          <w:szCs w:val="28"/>
        </w:rPr>
      </w:pPr>
      <w:r>
        <w:rPr>
          <w:rFonts w:ascii="Times New Roman" w:hAnsi="Times New Roman" w:cs="Times New Roman"/>
          <w:spacing w:val="-10"/>
          <w:sz w:val="28"/>
          <w:szCs w:val="28"/>
        </w:rPr>
        <w:t>П</w:t>
      </w:r>
      <w:r w:rsidR="003175E4" w:rsidRPr="00076A4B">
        <w:rPr>
          <w:rFonts w:ascii="Times New Roman" w:hAnsi="Times New Roman" w:cs="Times New Roman"/>
          <w:spacing w:val="-10"/>
          <w:sz w:val="28"/>
          <w:szCs w:val="28"/>
        </w:rPr>
        <w:t>латниками Податку є фізичні та юридичні особи, в тому числі нерезиденти, які є власниками об’єктів житлової та/або нежитлової нерухомості</w:t>
      </w:r>
      <w:r>
        <w:rPr>
          <w:rFonts w:ascii="Times New Roman" w:hAnsi="Times New Roman" w:cs="Times New Roman"/>
          <w:spacing w:val="-10"/>
          <w:sz w:val="28"/>
          <w:szCs w:val="28"/>
        </w:rPr>
        <w:t xml:space="preserve"> (</w:t>
      </w:r>
      <w:r w:rsidRPr="00076A4B">
        <w:rPr>
          <w:rFonts w:ascii="Times New Roman" w:hAnsi="Times New Roman" w:cs="Times New Roman"/>
          <w:spacing w:val="-10"/>
          <w:sz w:val="28"/>
          <w:szCs w:val="28"/>
        </w:rPr>
        <w:t>підпункт 266.1.1 пункту 266.1 статті 266 Кодексу</w:t>
      </w:r>
      <w:r>
        <w:rPr>
          <w:rFonts w:ascii="Times New Roman" w:hAnsi="Times New Roman" w:cs="Times New Roman"/>
          <w:spacing w:val="-10"/>
          <w:sz w:val="28"/>
          <w:szCs w:val="28"/>
        </w:rPr>
        <w:t>).</w:t>
      </w:r>
    </w:p>
    <w:p w14:paraId="1ED2EB77" w14:textId="4D57C52B" w:rsidR="002B379C" w:rsidRPr="00076A4B" w:rsidRDefault="002B379C" w:rsidP="00076A4B">
      <w:pPr>
        <w:spacing w:after="0" w:line="240" w:lineRule="auto"/>
        <w:ind w:firstLineChars="210" w:firstLine="567"/>
        <w:jc w:val="both"/>
        <w:rPr>
          <w:rFonts w:ascii="Times New Roman" w:hAnsi="Times New Roman"/>
          <w:spacing w:val="-10"/>
          <w:sz w:val="28"/>
          <w:szCs w:val="28"/>
        </w:rPr>
      </w:pPr>
      <w:r w:rsidRPr="00076A4B">
        <w:rPr>
          <w:rFonts w:ascii="Times New Roman" w:hAnsi="Times New Roman"/>
          <w:spacing w:val="-10"/>
          <w:sz w:val="28"/>
          <w:szCs w:val="28"/>
        </w:rPr>
        <w:t>Об’єктом оподаткування Податком є об’єкт житлової та нежитлової нерухомості, в тому числі його частка (підпункт  266.2.1 пункту 266.2 статті 266 Кодексу).</w:t>
      </w:r>
    </w:p>
    <w:p w14:paraId="2842878E" w14:textId="77777777" w:rsidR="00FF6000" w:rsidRPr="00076A4B" w:rsidRDefault="00FF6000" w:rsidP="00076A4B">
      <w:pPr>
        <w:tabs>
          <w:tab w:val="right" w:pos="10786"/>
        </w:tabs>
        <w:spacing w:after="0" w:line="240" w:lineRule="auto"/>
        <w:ind w:firstLine="567"/>
        <w:jc w:val="both"/>
        <w:rPr>
          <w:rFonts w:ascii="Times New Roman" w:hAnsi="Times New Roman"/>
          <w:color w:val="000000" w:themeColor="text1"/>
          <w:spacing w:val="-10"/>
          <w:sz w:val="28"/>
          <w:szCs w:val="28"/>
        </w:rPr>
      </w:pPr>
      <w:r w:rsidRPr="00076A4B">
        <w:rPr>
          <w:rFonts w:ascii="Times New Roman" w:hAnsi="Times New Roman"/>
          <w:color w:val="000000" w:themeColor="text1"/>
          <w:spacing w:val="-10"/>
          <w:sz w:val="28"/>
          <w:szCs w:val="28"/>
        </w:rPr>
        <w:t xml:space="preserve">База оподаткування об’єктів житлової та нежитлової нерухомості, в тому числі                   їх часток, що перебувають у власності юридичних осіб, обчислюється такими особами </w:t>
      </w:r>
    </w:p>
    <w:p w14:paraId="1B5721DD" w14:textId="77777777" w:rsidR="00FF6000" w:rsidRPr="00076A4B" w:rsidRDefault="00FF6000" w:rsidP="00076A4B">
      <w:pPr>
        <w:tabs>
          <w:tab w:val="right" w:pos="10786"/>
        </w:tabs>
        <w:spacing w:after="0" w:line="240" w:lineRule="auto"/>
        <w:jc w:val="both"/>
        <w:rPr>
          <w:rFonts w:ascii="Times New Roman" w:hAnsi="Times New Roman"/>
          <w:spacing w:val="-10"/>
          <w:sz w:val="28"/>
          <w:szCs w:val="28"/>
        </w:rPr>
      </w:pPr>
      <w:r w:rsidRPr="00076A4B">
        <w:rPr>
          <w:rFonts w:ascii="Times New Roman" w:hAnsi="Times New Roman"/>
          <w:color w:val="000000" w:themeColor="text1"/>
          <w:spacing w:val="-10"/>
          <w:sz w:val="28"/>
          <w:szCs w:val="28"/>
        </w:rPr>
        <w:t xml:space="preserve">самостійно виходячи із загальної площі кожного окремого об’єкта оподаткування на підставі документів, що підтверджують право власності на такий об’єкт                                     </w:t>
      </w:r>
      <w:r w:rsidRPr="00076A4B">
        <w:rPr>
          <w:rFonts w:ascii="Times New Roman" w:hAnsi="Times New Roman"/>
          <w:spacing w:val="-10"/>
          <w:sz w:val="28"/>
          <w:szCs w:val="28"/>
        </w:rPr>
        <w:t>(підпункт 266.3.3 пункту 266.3 статті 266 Кодексу).</w:t>
      </w:r>
    </w:p>
    <w:p w14:paraId="2503FDBC" w14:textId="465BA286" w:rsidR="00C176B2" w:rsidRPr="009E43D1" w:rsidRDefault="00C176B2" w:rsidP="00C176B2">
      <w:pPr>
        <w:shd w:val="clear" w:color="auto" w:fill="FFFFFF"/>
        <w:spacing w:after="0" w:line="240" w:lineRule="auto"/>
        <w:ind w:firstLine="450"/>
        <w:jc w:val="both"/>
        <w:rPr>
          <w:rFonts w:ascii="Times New Roman" w:eastAsia="Times New Roman" w:hAnsi="Times New Roman" w:cs="Times New Roman"/>
          <w:spacing w:val="-10"/>
          <w:sz w:val="28"/>
          <w:szCs w:val="28"/>
          <w:lang w:eastAsia="ru-RU"/>
        </w:rPr>
      </w:pPr>
      <w:r w:rsidRPr="009E43D1">
        <w:rPr>
          <w:rFonts w:ascii="Times New Roman" w:eastAsia="Times New Roman" w:hAnsi="Times New Roman" w:cs="Times New Roman"/>
          <w:spacing w:val="-10"/>
          <w:sz w:val="28"/>
          <w:szCs w:val="28"/>
          <w:lang w:eastAsia="ru-RU"/>
        </w:rPr>
        <w:t xml:space="preserve">Сільські, селищні, міські ради, військові адміністрації та військово-цивільні адміністрації </w:t>
      </w:r>
      <w:r w:rsidR="005B6E18">
        <w:rPr>
          <w:rFonts w:ascii="Times New Roman" w:eastAsia="Times New Roman" w:hAnsi="Times New Roman" w:cs="Times New Roman"/>
          <w:spacing w:val="-10"/>
          <w:sz w:val="28"/>
          <w:szCs w:val="28"/>
          <w:lang w:eastAsia="ru-RU"/>
        </w:rPr>
        <w:t xml:space="preserve">відповідно до </w:t>
      </w:r>
      <w:r w:rsidRPr="009E43D1">
        <w:rPr>
          <w:rFonts w:ascii="Times New Roman" w:hAnsi="Times New Roman" w:cs="Times New Roman"/>
          <w:spacing w:val="-10"/>
          <w:sz w:val="28"/>
          <w:szCs w:val="28"/>
        </w:rPr>
        <w:t>п</w:t>
      </w:r>
      <w:r w:rsidR="0029647D">
        <w:rPr>
          <w:rFonts w:ascii="Times New Roman" w:hAnsi="Times New Roman" w:cs="Times New Roman"/>
          <w:spacing w:val="-10"/>
          <w:sz w:val="28"/>
          <w:szCs w:val="28"/>
        </w:rPr>
        <w:t xml:space="preserve">ідпункту </w:t>
      </w:r>
      <w:r w:rsidRPr="009E43D1">
        <w:rPr>
          <w:rFonts w:ascii="Times New Roman" w:hAnsi="Times New Roman" w:cs="Times New Roman"/>
          <w:spacing w:val="-10"/>
          <w:sz w:val="28"/>
          <w:szCs w:val="28"/>
        </w:rPr>
        <w:t>12.4.3</w:t>
      </w:r>
      <w:r w:rsidR="0029647D">
        <w:rPr>
          <w:rFonts w:ascii="Times New Roman" w:hAnsi="Times New Roman" w:cs="Times New Roman"/>
          <w:spacing w:val="-10"/>
          <w:sz w:val="28"/>
          <w:szCs w:val="28"/>
        </w:rPr>
        <w:t xml:space="preserve"> </w:t>
      </w:r>
      <w:r w:rsidRPr="009E43D1">
        <w:rPr>
          <w:rFonts w:ascii="Times New Roman" w:hAnsi="Times New Roman" w:cs="Times New Roman"/>
          <w:spacing w:val="-10"/>
          <w:sz w:val="28"/>
          <w:szCs w:val="28"/>
        </w:rPr>
        <w:t xml:space="preserve"> п</w:t>
      </w:r>
      <w:r w:rsidR="0029647D">
        <w:rPr>
          <w:rFonts w:ascii="Times New Roman" w:hAnsi="Times New Roman" w:cs="Times New Roman"/>
          <w:spacing w:val="-10"/>
          <w:sz w:val="28"/>
          <w:szCs w:val="28"/>
        </w:rPr>
        <w:t xml:space="preserve">ункту  </w:t>
      </w:r>
      <w:r w:rsidRPr="009E43D1">
        <w:rPr>
          <w:rFonts w:ascii="Times New Roman" w:hAnsi="Times New Roman" w:cs="Times New Roman"/>
          <w:spacing w:val="-10"/>
          <w:sz w:val="28"/>
          <w:szCs w:val="28"/>
        </w:rPr>
        <w:t>12.4  ст</w:t>
      </w:r>
      <w:r w:rsidR="0029647D">
        <w:rPr>
          <w:rFonts w:ascii="Times New Roman" w:hAnsi="Times New Roman" w:cs="Times New Roman"/>
          <w:spacing w:val="-10"/>
          <w:sz w:val="28"/>
          <w:szCs w:val="28"/>
        </w:rPr>
        <w:t xml:space="preserve">атті  </w:t>
      </w:r>
      <w:r w:rsidRPr="009E43D1">
        <w:rPr>
          <w:rFonts w:ascii="Times New Roman" w:hAnsi="Times New Roman" w:cs="Times New Roman"/>
          <w:spacing w:val="-10"/>
          <w:sz w:val="28"/>
          <w:szCs w:val="28"/>
        </w:rPr>
        <w:t xml:space="preserve">12 та </w:t>
      </w:r>
      <w:r w:rsidRPr="009E43D1">
        <w:rPr>
          <w:rFonts w:ascii="Times New Roman" w:eastAsia="sans-serif" w:hAnsi="Times New Roman" w:cs="Times New Roman"/>
          <w:spacing w:val="-10"/>
          <w:sz w:val="28"/>
          <w:szCs w:val="28"/>
        </w:rPr>
        <w:t>п</w:t>
      </w:r>
      <w:r w:rsidR="0029647D">
        <w:rPr>
          <w:rFonts w:ascii="Times New Roman" w:eastAsia="sans-serif" w:hAnsi="Times New Roman" w:cs="Times New Roman"/>
          <w:spacing w:val="-10"/>
          <w:sz w:val="28"/>
          <w:szCs w:val="28"/>
        </w:rPr>
        <w:t xml:space="preserve">ідпункту </w:t>
      </w:r>
      <w:r w:rsidRPr="009E43D1">
        <w:rPr>
          <w:rFonts w:ascii="Times New Roman" w:eastAsia="sans-serif" w:hAnsi="Times New Roman" w:cs="Times New Roman"/>
          <w:spacing w:val="-10"/>
          <w:sz w:val="28"/>
          <w:szCs w:val="28"/>
        </w:rPr>
        <w:t xml:space="preserve"> 266.4.2 п</w:t>
      </w:r>
      <w:r w:rsidR="0029647D">
        <w:rPr>
          <w:rFonts w:ascii="Times New Roman" w:eastAsia="sans-serif" w:hAnsi="Times New Roman" w:cs="Times New Roman"/>
          <w:spacing w:val="-10"/>
          <w:sz w:val="28"/>
          <w:szCs w:val="28"/>
        </w:rPr>
        <w:t xml:space="preserve">ункту </w:t>
      </w:r>
      <w:r w:rsidRPr="009E43D1">
        <w:rPr>
          <w:rFonts w:ascii="Times New Roman" w:eastAsia="sans-serif" w:hAnsi="Times New Roman" w:cs="Times New Roman"/>
          <w:spacing w:val="-10"/>
          <w:sz w:val="28"/>
          <w:szCs w:val="28"/>
        </w:rPr>
        <w:t xml:space="preserve">266.4 </w:t>
      </w:r>
      <w:r w:rsidR="0029647D">
        <w:rPr>
          <w:rFonts w:ascii="Times New Roman" w:eastAsia="sans-serif" w:hAnsi="Times New Roman" w:cs="Times New Roman"/>
          <w:spacing w:val="-10"/>
          <w:sz w:val="28"/>
          <w:szCs w:val="28"/>
        </w:rPr>
        <w:t xml:space="preserve">статті </w:t>
      </w:r>
      <w:r w:rsidRPr="009E43D1">
        <w:rPr>
          <w:rFonts w:ascii="Times New Roman" w:eastAsia="sans-serif" w:hAnsi="Times New Roman" w:cs="Times New Roman"/>
          <w:spacing w:val="-10"/>
          <w:sz w:val="28"/>
          <w:szCs w:val="28"/>
        </w:rPr>
        <w:t>266 Кодексу</w:t>
      </w:r>
      <w:r>
        <w:rPr>
          <w:rFonts w:ascii="Times New Roman" w:eastAsia="sans-serif" w:hAnsi="Times New Roman" w:cs="Times New Roman"/>
          <w:spacing w:val="-10"/>
          <w:sz w:val="28"/>
          <w:szCs w:val="28"/>
        </w:rPr>
        <w:t xml:space="preserve"> наділені повноваженнями, </w:t>
      </w:r>
      <w:r w:rsidRPr="009E43D1">
        <w:rPr>
          <w:rFonts w:ascii="Times New Roman" w:eastAsia="sans-serif" w:hAnsi="Times New Roman" w:cs="Times New Roman"/>
          <w:spacing w:val="-10"/>
          <w:sz w:val="28"/>
          <w:szCs w:val="28"/>
        </w:rPr>
        <w:t>зокрема</w:t>
      </w:r>
      <w:r w:rsidR="005B6E18">
        <w:rPr>
          <w:rFonts w:ascii="Times New Roman" w:eastAsia="sans-serif" w:hAnsi="Times New Roman" w:cs="Times New Roman"/>
          <w:spacing w:val="-10"/>
          <w:sz w:val="28"/>
          <w:szCs w:val="28"/>
        </w:rPr>
        <w:t>,</w:t>
      </w:r>
      <w:r w:rsidRPr="009E43D1">
        <w:rPr>
          <w:rFonts w:ascii="Times New Roman" w:eastAsia="sans-serif" w:hAnsi="Times New Roman" w:cs="Times New Roman"/>
          <w:spacing w:val="-10"/>
          <w:sz w:val="28"/>
          <w:szCs w:val="28"/>
        </w:rPr>
        <w:t xml:space="preserve"> приймати</w:t>
      </w:r>
      <w:r>
        <w:rPr>
          <w:rFonts w:ascii="Times New Roman" w:eastAsia="sans-serif" w:hAnsi="Times New Roman" w:cs="Times New Roman"/>
          <w:spacing w:val="-10"/>
          <w:sz w:val="28"/>
          <w:szCs w:val="28"/>
        </w:rPr>
        <w:t xml:space="preserve"> </w:t>
      </w:r>
      <w:r w:rsidRPr="009E43D1">
        <w:rPr>
          <w:rFonts w:ascii="Times New Roman" w:eastAsia="sans-serif" w:hAnsi="Times New Roman" w:cs="Times New Roman"/>
          <w:spacing w:val="-10"/>
          <w:sz w:val="28"/>
          <w:szCs w:val="28"/>
        </w:rPr>
        <w:t xml:space="preserve">рішення про встановлення місцевих податків та зборів, зміну розміру їх ставок, </w:t>
      </w:r>
      <w:r w:rsidR="005B6E18">
        <w:rPr>
          <w:rFonts w:ascii="Times New Roman" w:eastAsia="sans-serif" w:hAnsi="Times New Roman" w:cs="Times New Roman"/>
          <w:spacing w:val="-10"/>
          <w:sz w:val="28"/>
          <w:szCs w:val="28"/>
        </w:rPr>
        <w:t xml:space="preserve">визначення </w:t>
      </w:r>
      <w:r w:rsidRPr="009E43D1">
        <w:rPr>
          <w:rFonts w:ascii="Times New Roman" w:eastAsia="sans-serif" w:hAnsi="Times New Roman" w:cs="Times New Roman"/>
          <w:spacing w:val="-10"/>
          <w:sz w:val="28"/>
          <w:szCs w:val="28"/>
        </w:rPr>
        <w:t xml:space="preserve">об’єкта оподаткування, порядку справляння </w:t>
      </w:r>
      <w:r w:rsidR="005B6E18">
        <w:rPr>
          <w:rFonts w:ascii="Times New Roman" w:eastAsia="sans-serif" w:hAnsi="Times New Roman" w:cs="Times New Roman"/>
          <w:spacing w:val="-10"/>
          <w:sz w:val="28"/>
          <w:szCs w:val="28"/>
        </w:rPr>
        <w:t xml:space="preserve">та </w:t>
      </w:r>
      <w:r w:rsidRPr="009E43D1">
        <w:rPr>
          <w:rFonts w:ascii="Times New Roman" w:eastAsia="sans-serif" w:hAnsi="Times New Roman" w:cs="Times New Roman"/>
          <w:spacing w:val="-10"/>
          <w:sz w:val="28"/>
          <w:szCs w:val="28"/>
        </w:rPr>
        <w:t>надання податкових пільг.</w:t>
      </w:r>
    </w:p>
    <w:p w14:paraId="1EF93B8C" w14:textId="5F249791" w:rsidR="00505931" w:rsidRPr="00AC7775" w:rsidRDefault="005B6E18" w:rsidP="00505931">
      <w:pPr>
        <w:shd w:val="clear" w:color="auto" w:fill="FFFFFF"/>
        <w:spacing w:after="0" w:line="240" w:lineRule="auto"/>
        <w:ind w:firstLine="567"/>
        <w:jc w:val="both"/>
        <w:rPr>
          <w:rFonts w:ascii="Times New Roman" w:eastAsia="Times New Roman" w:hAnsi="Times New Roman" w:cs="Times New Roman"/>
          <w:spacing w:val="-10"/>
          <w:sz w:val="28"/>
          <w:szCs w:val="28"/>
          <w:lang w:eastAsia="ru-RU"/>
        </w:rPr>
      </w:pPr>
      <w:r>
        <w:rPr>
          <w:rFonts w:ascii="Times New Roman" w:eastAsia="Times New Roman" w:hAnsi="Times New Roman" w:cs="Times New Roman"/>
          <w:spacing w:val="-10"/>
          <w:sz w:val="28"/>
          <w:szCs w:val="28"/>
          <w:lang w:eastAsia="ru-RU"/>
        </w:rPr>
        <w:t>Водночас в</w:t>
      </w:r>
      <w:r w:rsidR="00505931" w:rsidRPr="00AC7775">
        <w:rPr>
          <w:rFonts w:ascii="Times New Roman" w:eastAsia="Times New Roman" w:hAnsi="Times New Roman" w:cs="Times New Roman"/>
          <w:spacing w:val="-10"/>
          <w:sz w:val="28"/>
          <w:szCs w:val="28"/>
          <w:lang w:eastAsia="ru-RU"/>
        </w:rPr>
        <w:t xml:space="preserve">ідповідно до підпункту «а» підпункту 266.2.2 пункту 266.2 статті 266 Кодексу </w:t>
      </w:r>
      <w:r>
        <w:rPr>
          <w:rFonts w:ascii="Times New Roman" w:eastAsia="Times New Roman" w:hAnsi="Times New Roman" w:cs="Times New Roman"/>
          <w:spacing w:val="-10"/>
          <w:sz w:val="28"/>
          <w:szCs w:val="28"/>
          <w:lang w:eastAsia="ru-RU"/>
        </w:rPr>
        <w:t>н</w:t>
      </w:r>
      <w:r w:rsidR="00505931" w:rsidRPr="00AC7775">
        <w:rPr>
          <w:rFonts w:ascii="Times New Roman" w:eastAsia="Times New Roman" w:hAnsi="Times New Roman" w:cs="Times New Roman"/>
          <w:spacing w:val="-10"/>
          <w:sz w:val="28"/>
          <w:szCs w:val="28"/>
          <w:lang w:eastAsia="ru-RU"/>
        </w:rPr>
        <w:t xml:space="preserve">е є об’єктом оподаткування Податком </w:t>
      </w:r>
      <w:bookmarkStart w:id="1" w:name="n11791"/>
      <w:bookmarkEnd w:id="1"/>
      <w:r w:rsidR="00505931" w:rsidRPr="00AC7775">
        <w:rPr>
          <w:rFonts w:ascii="Times New Roman" w:eastAsia="Times New Roman" w:hAnsi="Times New Roman" w:cs="Times New Roman"/>
          <w:spacing w:val="-10"/>
          <w:sz w:val="28"/>
          <w:szCs w:val="28"/>
          <w:lang w:eastAsia="ru-RU"/>
        </w:rPr>
        <w:t xml:space="preserve">об’єкти житлової та нежитлової нерухомості, </w:t>
      </w:r>
      <w:r>
        <w:rPr>
          <w:rFonts w:ascii="Times New Roman" w:eastAsia="Times New Roman" w:hAnsi="Times New Roman" w:cs="Times New Roman"/>
          <w:spacing w:val="-10"/>
          <w:sz w:val="28"/>
          <w:szCs w:val="28"/>
          <w:lang w:eastAsia="ru-RU"/>
        </w:rPr>
        <w:t>які</w:t>
      </w:r>
      <w:r w:rsidR="00505931" w:rsidRPr="00AC7775">
        <w:rPr>
          <w:rFonts w:ascii="Times New Roman" w:eastAsia="Times New Roman" w:hAnsi="Times New Roman" w:cs="Times New Roman"/>
          <w:spacing w:val="-10"/>
          <w:sz w:val="28"/>
          <w:szCs w:val="28"/>
          <w:lang w:eastAsia="ru-RU"/>
        </w:rPr>
        <w:t xml:space="preserve"> перебувають у власності органів державної влади, органів місцевого самоврядування, а також організацій, створених ними в установленому порядку, що повністю утримуються за рахунок відповідного державного бюджету чи місцевого бюджету </w:t>
      </w:r>
      <w:r w:rsidR="00EC5E28">
        <w:rPr>
          <w:rFonts w:ascii="Times New Roman" w:eastAsia="Times New Roman" w:hAnsi="Times New Roman" w:cs="Times New Roman"/>
          <w:spacing w:val="-10"/>
          <w:sz w:val="28"/>
          <w:szCs w:val="28"/>
          <w:lang w:eastAsia="ru-RU"/>
        </w:rPr>
        <w:t xml:space="preserve"> </w:t>
      </w:r>
      <w:r w:rsidR="00505931" w:rsidRPr="00AC7775">
        <w:rPr>
          <w:rFonts w:ascii="Times New Roman" w:eastAsia="Times New Roman" w:hAnsi="Times New Roman" w:cs="Times New Roman"/>
          <w:spacing w:val="-10"/>
          <w:sz w:val="28"/>
          <w:szCs w:val="28"/>
          <w:lang w:eastAsia="ru-RU"/>
        </w:rPr>
        <w:t xml:space="preserve">і </w:t>
      </w:r>
      <w:r w:rsidR="00EC5E28">
        <w:rPr>
          <w:rFonts w:ascii="Times New Roman" w:eastAsia="Times New Roman" w:hAnsi="Times New Roman" w:cs="Times New Roman"/>
          <w:spacing w:val="-10"/>
          <w:sz w:val="28"/>
          <w:szCs w:val="28"/>
          <w:lang w:eastAsia="ru-RU"/>
        </w:rPr>
        <w:t xml:space="preserve"> </w:t>
      </w:r>
      <w:r w:rsidR="00505931" w:rsidRPr="00AC7775">
        <w:rPr>
          <w:rFonts w:ascii="Times New Roman" w:eastAsia="Times New Roman" w:hAnsi="Times New Roman" w:cs="Times New Roman"/>
          <w:spacing w:val="-10"/>
          <w:sz w:val="28"/>
          <w:szCs w:val="28"/>
          <w:lang w:eastAsia="ru-RU"/>
        </w:rPr>
        <w:t>є неприбутковими (їх спільній власності).</w:t>
      </w:r>
    </w:p>
    <w:p w14:paraId="41F1D8F2" w14:textId="19A45EC1" w:rsidR="005B6E18" w:rsidRDefault="005B6E18" w:rsidP="005B6E18">
      <w:pPr>
        <w:tabs>
          <w:tab w:val="left" w:pos="567"/>
          <w:tab w:val="center" w:pos="4677"/>
          <w:tab w:val="right" w:pos="9355"/>
        </w:tabs>
        <w:spacing w:after="0" w:line="240" w:lineRule="auto"/>
        <w:ind w:firstLineChars="211" w:firstLine="570"/>
        <w:jc w:val="both"/>
        <w:rPr>
          <w:rFonts w:ascii="Times New Roman" w:hAnsi="Times New Roman" w:cs="Times New Roman"/>
          <w:spacing w:val="-10"/>
          <w:sz w:val="28"/>
          <w:szCs w:val="28"/>
          <w:lang w:eastAsia="ru-RU"/>
        </w:rPr>
      </w:pPr>
      <w:r>
        <w:rPr>
          <w:rFonts w:ascii="Times New Roman" w:hAnsi="Times New Roman" w:cs="Times New Roman"/>
          <w:spacing w:val="-10"/>
          <w:sz w:val="28"/>
          <w:szCs w:val="28"/>
          <w:lang w:eastAsia="ru-RU"/>
        </w:rPr>
        <w:t xml:space="preserve">З огляду на те, що відповідно до реєстраційних даних </w:t>
      </w:r>
      <w:r w:rsidR="0073099D">
        <w:rPr>
          <w:rFonts w:ascii="Times New Roman" w:hAnsi="Times New Roman" w:cs="Times New Roman"/>
          <w:spacing w:val="-10"/>
          <w:sz w:val="28"/>
          <w:szCs w:val="28"/>
          <w:lang w:eastAsia="ru-RU"/>
        </w:rPr>
        <w:t>Міська рада є органом місцевого самоврядування</w:t>
      </w:r>
      <w:r>
        <w:rPr>
          <w:rFonts w:ascii="Times New Roman" w:hAnsi="Times New Roman" w:cs="Times New Roman"/>
          <w:spacing w:val="-10"/>
          <w:sz w:val="28"/>
          <w:szCs w:val="28"/>
          <w:lang w:eastAsia="ru-RU"/>
        </w:rPr>
        <w:t xml:space="preserve">, об’єкти нерухомості, які перебувають у її власності,                              не є об’єктом оподаткування Податком. Відповідно, у Міської ради не виникає обов’язку щодо нарахування та сплати Податку за належні їй  об’єкти нерухомості, у тому числі у разі їх набуття за договором дарування.  </w:t>
      </w:r>
    </w:p>
    <w:p w14:paraId="3C458753" w14:textId="5042C0EF" w:rsidR="0075641D" w:rsidRPr="00D60E1D" w:rsidRDefault="0075641D" w:rsidP="00505931">
      <w:pPr>
        <w:tabs>
          <w:tab w:val="left" w:pos="567"/>
        </w:tabs>
        <w:spacing w:after="0" w:line="240" w:lineRule="auto"/>
        <w:ind w:firstLine="567"/>
        <w:jc w:val="both"/>
        <w:rPr>
          <w:rFonts w:ascii="Times New Roman" w:hAnsi="Times New Roman" w:cs="Times New Roman"/>
          <w:spacing w:val="-10"/>
          <w:sz w:val="28"/>
          <w:szCs w:val="28"/>
          <w:lang w:val="x-none" w:eastAsia="ru-RU"/>
        </w:rPr>
      </w:pPr>
      <w:r w:rsidRPr="00D60E1D">
        <w:rPr>
          <w:rFonts w:ascii="Times New Roman" w:hAnsi="Times New Roman" w:cs="Times New Roman"/>
          <w:spacing w:val="-10"/>
          <w:sz w:val="28"/>
          <w:szCs w:val="28"/>
          <w:lang w:val="x-none" w:eastAsia="ru-RU"/>
        </w:rPr>
        <w:lastRenderedPageBreak/>
        <w:t>Відповідно до пункту 52.2 статті 52 Кодексу індивідуальна податкова консультація має індивідуальний характер і може використовуватися виключно платником податків, якому надано таку консультацію.</w:t>
      </w:r>
    </w:p>
    <w:p w14:paraId="45CD7B5D" w14:textId="4BF0FD79" w:rsidR="003368B7" w:rsidRDefault="003368B7" w:rsidP="00505931">
      <w:pPr>
        <w:tabs>
          <w:tab w:val="left" w:pos="567"/>
        </w:tabs>
        <w:spacing w:after="0" w:line="226" w:lineRule="auto"/>
        <w:ind w:firstLine="567"/>
        <w:jc w:val="both"/>
        <w:rPr>
          <w:rFonts w:ascii="Times New Roman" w:eastAsia="Times New Roman" w:hAnsi="Times New Roman" w:cs="Times New Roman"/>
          <w:spacing w:val="-10"/>
          <w:sz w:val="28"/>
          <w:szCs w:val="28"/>
          <w:lang w:eastAsia="ru-RU"/>
        </w:rPr>
      </w:pPr>
    </w:p>
    <w:p w14:paraId="17FAC4FB" w14:textId="77777777" w:rsidR="005D579F" w:rsidRPr="00A35DB1" w:rsidRDefault="00F71A3F" w:rsidP="00F71A3F">
      <w:pPr>
        <w:widowControl w:val="0"/>
        <w:tabs>
          <w:tab w:val="left" w:pos="567"/>
        </w:tabs>
        <w:autoSpaceDE w:val="0"/>
        <w:autoSpaceDN w:val="0"/>
        <w:adjustRightInd w:val="0"/>
        <w:spacing w:after="0" w:line="240" w:lineRule="auto"/>
        <w:jc w:val="both"/>
        <w:rPr>
          <w:spacing w:val="-12"/>
        </w:rPr>
      </w:pPr>
      <w:r w:rsidRPr="00A35DB1">
        <w:rPr>
          <w:rFonts w:ascii="Times New Roman" w:eastAsia="Times New Roman" w:hAnsi="Times New Roman" w:cs="Times New Roman"/>
          <w:spacing w:val="-12"/>
          <w:sz w:val="20"/>
          <w:szCs w:val="20"/>
          <w:lang w:eastAsia="ru-RU"/>
        </w:rPr>
        <w:t>Дана індивідуальна податкова консультація діє до зміни/втрати чинності норм законодавства, щодо яких надано індивідуальну податкову консультацію.</w:t>
      </w:r>
    </w:p>
    <w:sectPr w:rsidR="005D579F" w:rsidRPr="00A35DB1" w:rsidSect="00957816">
      <w:headerReference w:type="default" r:id="rId8"/>
      <w:pgSz w:w="11906" w:h="16838"/>
      <w:pgMar w:top="851" w:right="567"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C2FB6E" w14:textId="77777777" w:rsidR="005D5655" w:rsidRDefault="005D5655">
      <w:pPr>
        <w:spacing w:after="0" w:line="240" w:lineRule="auto"/>
      </w:pPr>
      <w:r>
        <w:separator/>
      </w:r>
    </w:p>
  </w:endnote>
  <w:endnote w:type="continuationSeparator" w:id="0">
    <w:p w14:paraId="153CF32C" w14:textId="77777777" w:rsidR="005D5655" w:rsidRDefault="005D5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sans-serif">
    <w:altName w:val="Segoe Print"/>
    <w:charset w:val="00"/>
    <w:family w:val="auto"/>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15459D" w14:textId="77777777" w:rsidR="005D5655" w:rsidRDefault="005D5655">
      <w:pPr>
        <w:spacing w:after="0" w:line="240" w:lineRule="auto"/>
      </w:pPr>
      <w:r>
        <w:separator/>
      </w:r>
    </w:p>
  </w:footnote>
  <w:footnote w:type="continuationSeparator" w:id="0">
    <w:p w14:paraId="12DF4058" w14:textId="77777777" w:rsidR="005D5655" w:rsidRDefault="005D56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8647103"/>
      <w:docPartObj>
        <w:docPartGallery w:val="Page Numbers (Top of Page)"/>
        <w:docPartUnique/>
      </w:docPartObj>
    </w:sdtPr>
    <w:sdtEndPr/>
    <w:sdtContent>
      <w:p w14:paraId="48A79902" w14:textId="4CD9A93F" w:rsidR="00884288" w:rsidRDefault="00800523" w:rsidP="00A35DB1">
        <w:pPr>
          <w:pStyle w:val="a3"/>
          <w:jc w:val="center"/>
        </w:pPr>
        <w:r>
          <w:fldChar w:fldCharType="begin"/>
        </w:r>
        <w:r>
          <w:instrText>PAGE   \* MERGEFORMAT</w:instrText>
        </w:r>
        <w:r>
          <w:fldChar w:fldCharType="separate"/>
        </w:r>
        <w:r w:rsidR="00BB0429">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C0183"/>
    <w:multiLevelType w:val="hybridMultilevel"/>
    <w:tmpl w:val="604824F4"/>
    <w:lvl w:ilvl="0" w:tplc="84AADD4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2C36443C"/>
    <w:multiLevelType w:val="hybridMultilevel"/>
    <w:tmpl w:val="B0A2D224"/>
    <w:lvl w:ilvl="0" w:tplc="FC16A2CA">
      <w:numFmt w:val="bullet"/>
      <w:lvlText w:val="-"/>
      <w:lvlJc w:val="left"/>
      <w:pPr>
        <w:ind w:left="901" w:hanging="360"/>
      </w:pPr>
      <w:rPr>
        <w:rFonts w:ascii="Times New Roman" w:eastAsiaTheme="minorHAnsi" w:hAnsi="Times New Roman" w:cs="Times New Roman" w:hint="default"/>
      </w:rPr>
    </w:lvl>
    <w:lvl w:ilvl="1" w:tplc="04220003" w:tentative="1">
      <w:start w:val="1"/>
      <w:numFmt w:val="bullet"/>
      <w:lvlText w:val="o"/>
      <w:lvlJc w:val="left"/>
      <w:pPr>
        <w:ind w:left="1621" w:hanging="360"/>
      </w:pPr>
      <w:rPr>
        <w:rFonts w:ascii="Courier New" w:hAnsi="Courier New" w:cs="Courier New" w:hint="default"/>
      </w:rPr>
    </w:lvl>
    <w:lvl w:ilvl="2" w:tplc="04220005" w:tentative="1">
      <w:start w:val="1"/>
      <w:numFmt w:val="bullet"/>
      <w:lvlText w:val=""/>
      <w:lvlJc w:val="left"/>
      <w:pPr>
        <w:ind w:left="2341" w:hanging="360"/>
      </w:pPr>
      <w:rPr>
        <w:rFonts w:ascii="Wingdings" w:hAnsi="Wingdings" w:hint="default"/>
      </w:rPr>
    </w:lvl>
    <w:lvl w:ilvl="3" w:tplc="04220001" w:tentative="1">
      <w:start w:val="1"/>
      <w:numFmt w:val="bullet"/>
      <w:lvlText w:val=""/>
      <w:lvlJc w:val="left"/>
      <w:pPr>
        <w:ind w:left="3061" w:hanging="360"/>
      </w:pPr>
      <w:rPr>
        <w:rFonts w:ascii="Symbol" w:hAnsi="Symbol" w:hint="default"/>
      </w:rPr>
    </w:lvl>
    <w:lvl w:ilvl="4" w:tplc="04220003" w:tentative="1">
      <w:start w:val="1"/>
      <w:numFmt w:val="bullet"/>
      <w:lvlText w:val="o"/>
      <w:lvlJc w:val="left"/>
      <w:pPr>
        <w:ind w:left="3781" w:hanging="360"/>
      </w:pPr>
      <w:rPr>
        <w:rFonts w:ascii="Courier New" w:hAnsi="Courier New" w:cs="Courier New" w:hint="default"/>
      </w:rPr>
    </w:lvl>
    <w:lvl w:ilvl="5" w:tplc="04220005" w:tentative="1">
      <w:start w:val="1"/>
      <w:numFmt w:val="bullet"/>
      <w:lvlText w:val=""/>
      <w:lvlJc w:val="left"/>
      <w:pPr>
        <w:ind w:left="4501" w:hanging="360"/>
      </w:pPr>
      <w:rPr>
        <w:rFonts w:ascii="Wingdings" w:hAnsi="Wingdings" w:hint="default"/>
      </w:rPr>
    </w:lvl>
    <w:lvl w:ilvl="6" w:tplc="04220001" w:tentative="1">
      <w:start w:val="1"/>
      <w:numFmt w:val="bullet"/>
      <w:lvlText w:val=""/>
      <w:lvlJc w:val="left"/>
      <w:pPr>
        <w:ind w:left="5221" w:hanging="360"/>
      </w:pPr>
      <w:rPr>
        <w:rFonts w:ascii="Symbol" w:hAnsi="Symbol" w:hint="default"/>
      </w:rPr>
    </w:lvl>
    <w:lvl w:ilvl="7" w:tplc="04220003" w:tentative="1">
      <w:start w:val="1"/>
      <w:numFmt w:val="bullet"/>
      <w:lvlText w:val="o"/>
      <w:lvlJc w:val="left"/>
      <w:pPr>
        <w:ind w:left="5941" w:hanging="360"/>
      </w:pPr>
      <w:rPr>
        <w:rFonts w:ascii="Courier New" w:hAnsi="Courier New" w:cs="Courier New" w:hint="default"/>
      </w:rPr>
    </w:lvl>
    <w:lvl w:ilvl="8" w:tplc="04220005" w:tentative="1">
      <w:start w:val="1"/>
      <w:numFmt w:val="bullet"/>
      <w:lvlText w:val=""/>
      <w:lvlJc w:val="left"/>
      <w:pPr>
        <w:ind w:left="6661" w:hanging="360"/>
      </w:pPr>
      <w:rPr>
        <w:rFonts w:ascii="Wingdings" w:hAnsi="Wingdings" w:hint="default"/>
      </w:rPr>
    </w:lvl>
  </w:abstractNum>
  <w:abstractNum w:abstractNumId="2" w15:restartNumberingAfterBreak="0">
    <w:nsid w:val="65774924"/>
    <w:multiLevelType w:val="hybridMultilevel"/>
    <w:tmpl w:val="AF98CE2E"/>
    <w:lvl w:ilvl="0" w:tplc="912A5CB2">
      <w:start w:val="1"/>
      <w:numFmt w:val="decimal"/>
      <w:lvlText w:val="%1)"/>
      <w:lvlJc w:val="left"/>
      <w:pPr>
        <w:ind w:left="1353" w:hanging="360"/>
      </w:pPr>
      <w:rPr>
        <w:rFonts w:hint="default"/>
      </w:rPr>
    </w:lvl>
    <w:lvl w:ilvl="1" w:tplc="04220019" w:tentative="1">
      <w:start w:val="1"/>
      <w:numFmt w:val="lowerLetter"/>
      <w:lvlText w:val="%2."/>
      <w:lvlJc w:val="left"/>
      <w:pPr>
        <w:ind w:left="1981" w:hanging="360"/>
      </w:pPr>
    </w:lvl>
    <w:lvl w:ilvl="2" w:tplc="0422001B" w:tentative="1">
      <w:start w:val="1"/>
      <w:numFmt w:val="lowerRoman"/>
      <w:lvlText w:val="%3."/>
      <w:lvlJc w:val="right"/>
      <w:pPr>
        <w:ind w:left="2701" w:hanging="180"/>
      </w:pPr>
    </w:lvl>
    <w:lvl w:ilvl="3" w:tplc="0422000F" w:tentative="1">
      <w:start w:val="1"/>
      <w:numFmt w:val="decimal"/>
      <w:lvlText w:val="%4."/>
      <w:lvlJc w:val="left"/>
      <w:pPr>
        <w:ind w:left="3421" w:hanging="360"/>
      </w:pPr>
    </w:lvl>
    <w:lvl w:ilvl="4" w:tplc="04220019" w:tentative="1">
      <w:start w:val="1"/>
      <w:numFmt w:val="lowerLetter"/>
      <w:lvlText w:val="%5."/>
      <w:lvlJc w:val="left"/>
      <w:pPr>
        <w:ind w:left="4141" w:hanging="360"/>
      </w:pPr>
    </w:lvl>
    <w:lvl w:ilvl="5" w:tplc="0422001B" w:tentative="1">
      <w:start w:val="1"/>
      <w:numFmt w:val="lowerRoman"/>
      <w:lvlText w:val="%6."/>
      <w:lvlJc w:val="right"/>
      <w:pPr>
        <w:ind w:left="4861" w:hanging="180"/>
      </w:pPr>
    </w:lvl>
    <w:lvl w:ilvl="6" w:tplc="0422000F" w:tentative="1">
      <w:start w:val="1"/>
      <w:numFmt w:val="decimal"/>
      <w:lvlText w:val="%7."/>
      <w:lvlJc w:val="left"/>
      <w:pPr>
        <w:ind w:left="5581" w:hanging="360"/>
      </w:pPr>
    </w:lvl>
    <w:lvl w:ilvl="7" w:tplc="04220019" w:tentative="1">
      <w:start w:val="1"/>
      <w:numFmt w:val="lowerLetter"/>
      <w:lvlText w:val="%8."/>
      <w:lvlJc w:val="left"/>
      <w:pPr>
        <w:ind w:left="6301" w:hanging="360"/>
      </w:pPr>
    </w:lvl>
    <w:lvl w:ilvl="8" w:tplc="0422001B" w:tentative="1">
      <w:start w:val="1"/>
      <w:numFmt w:val="lowerRoman"/>
      <w:lvlText w:val="%9."/>
      <w:lvlJc w:val="right"/>
      <w:pPr>
        <w:ind w:left="7021" w:hanging="180"/>
      </w:pPr>
    </w:lvl>
  </w:abstractNum>
  <w:abstractNum w:abstractNumId="3" w15:restartNumberingAfterBreak="0">
    <w:nsid w:val="7A892CD1"/>
    <w:multiLevelType w:val="hybridMultilevel"/>
    <w:tmpl w:val="AF98CE2E"/>
    <w:lvl w:ilvl="0" w:tplc="912A5CB2">
      <w:start w:val="1"/>
      <w:numFmt w:val="decimal"/>
      <w:lvlText w:val="%1)"/>
      <w:lvlJc w:val="left"/>
      <w:pPr>
        <w:ind w:left="1261" w:hanging="360"/>
      </w:pPr>
      <w:rPr>
        <w:rFonts w:hint="default"/>
      </w:rPr>
    </w:lvl>
    <w:lvl w:ilvl="1" w:tplc="04220019" w:tentative="1">
      <w:start w:val="1"/>
      <w:numFmt w:val="lowerLetter"/>
      <w:lvlText w:val="%2."/>
      <w:lvlJc w:val="left"/>
      <w:pPr>
        <w:ind w:left="1981" w:hanging="360"/>
      </w:pPr>
    </w:lvl>
    <w:lvl w:ilvl="2" w:tplc="0422001B" w:tentative="1">
      <w:start w:val="1"/>
      <w:numFmt w:val="lowerRoman"/>
      <w:lvlText w:val="%3."/>
      <w:lvlJc w:val="right"/>
      <w:pPr>
        <w:ind w:left="2701" w:hanging="180"/>
      </w:pPr>
    </w:lvl>
    <w:lvl w:ilvl="3" w:tplc="0422000F" w:tentative="1">
      <w:start w:val="1"/>
      <w:numFmt w:val="decimal"/>
      <w:lvlText w:val="%4."/>
      <w:lvlJc w:val="left"/>
      <w:pPr>
        <w:ind w:left="3421" w:hanging="360"/>
      </w:pPr>
    </w:lvl>
    <w:lvl w:ilvl="4" w:tplc="04220019" w:tentative="1">
      <w:start w:val="1"/>
      <w:numFmt w:val="lowerLetter"/>
      <w:lvlText w:val="%5."/>
      <w:lvlJc w:val="left"/>
      <w:pPr>
        <w:ind w:left="4141" w:hanging="360"/>
      </w:pPr>
    </w:lvl>
    <w:lvl w:ilvl="5" w:tplc="0422001B" w:tentative="1">
      <w:start w:val="1"/>
      <w:numFmt w:val="lowerRoman"/>
      <w:lvlText w:val="%6."/>
      <w:lvlJc w:val="right"/>
      <w:pPr>
        <w:ind w:left="4861" w:hanging="180"/>
      </w:pPr>
    </w:lvl>
    <w:lvl w:ilvl="6" w:tplc="0422000F" w:tentative="1">
      <w:start w:val="1"/>
      <w:numFmt w:val="decimal"/>
      <w:lvlText w:val="%7."/>
      <w:lvlJc w:val="left"/>
      <w:pPr>
        <w:ind w:left="5581" w:hanging="360"/>
      </w:pPr>
    </w:lvl>
    <w:lvl w:ilvl="7" w:tplc="04220019" w:tentative="1">
      <w:start w:val="1"/>
      <w:numFmt w:val="lowerLetter"/>
      <w:lvlText w:val="%8."/>
      <w:lvlJc w:val="left"/>
      <w:pPr>
        <w:ind w:left="6301" w:hanging="360"/>
      </w:pPr>
    </w:lvl>
    <w:lvl w:ilvl="8" w:tplc="0422001B" w:tentative="1">
      <w:start w:val="1"/>
      <w:numFmt w:val="lowerRoman"/>
      <w:lvlText w:val="%9."/>
      <w:lvlJc w:val="right"/>
      <w:pPr>
        <w:ind w:left="7021"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A3F"/>
    <w:rsid w:val="000131E9"/>
    <w:rsid w:val="000224CC"/>
    <w:rsid w:val="00066845"/>
    <w:rsid w:val="00073A7B"/>
    <w:rsid w:val="00076A4B"/>
    <w:rsid w:val="000B751C"/>
    <w:rsid w:val="000C6227"/>
    <w:rsid w:val="000F04D0"/>
    <w:rsid w:val="000F1651"/>
    <w:rsid w:val="00117BC6"/>
    <w:rsid w:val="00134F65"/>
    <w:rsid w:val="001920FD"/>
    <w:rsid w:val="001943B1"/>
    <w:rsid w:val="00197817"/>
    <w:rsid w:val="001E6129"/>
    <w:rsid w:val="002229E3"/>
    <w:rsid w:val="002512F1"/>
    <w:rsid w:val="00284ECF"/>
    <w:rsid w:val="0029366C"/>
    <w:rsid w:val="00295DE1"/>
    <w:rsid w:val="0029647D"/>
    <w:rsid w:val="002A1BED"/>
    <w:rsid w:val="002A398E"/>
    <w:rsid w:val="002B379C"/>
    <w:rsid w:val="003175E4"/>
    <w:rsid w:val="003368B7"/>
    <w:rsid w:val="00336FF9"/>
    <w:rsid w:val="00362C49"/>
    <w:rsid w:val="003778B1"/>
    <w:rsid w:val="003A78B0"/>
    <w:rsid w:val="003B7127"/>
    <w:rsid w:val="003C3561"/>
    <w:rsid w:val="003C7E07"/>
    <w:rsid w:val="003D73FD"/>
    <w:rsid w:val="003E0F7B"/>
    <w:rsid w:val="003E2DF8"/>
    <w:rsid w:val="00401EE2"/>
    <w:rsid w:val="004137EC"/>
    <w:rsid w:val="004401C7"/>
    <w:rsid w:val="00492230"/>
    <w:rsid w:val="004A1DCA"/>
    <w:rsid w:val="004C3675"/>
    <w:rsid w:val="004E31DF"/>
    <w:rsid w:val="00505931"/>
    <w:rsid w:val="00556CE1"/>
    <w:rsid w:val="005766EA"/>
    <w:rsid w:val="005B3097"/>
    <w:rsid w:val="005B6E18"/>
    <w:rsid w:val="005C62BB"/>
    <w:rsid w:val="005D0E25"/>
    <w:rsid w:val="005D5655"/>
    <w:rsid w:val="005D579F"/>
    <w:rsid w:val="005F28F9"/>
    <w:rsid w:val="006249BF"/>
    <w:rsid w:val="00633C42"/>
    <w:rsid w:val="00636411"/>
    <w:rsid w:val="00663B41"/>
    <w:rsid w:val="00676D39"/>
    <w:rsid w:val="006B2753"/>
    <w:rsid w:val="006C3C3C"/>
    <w:rsid w:val="006E3D9F"/>
    <w:rsid w:val="00700964"/>
    <w:rsid w:val="007241B1"/>
    <w:rsid w:val="007305C1"/>
    <w:rsid w:val="0073099D"/>
    <w:rsid w:val="00746ACA"/>
    <w:rsid w:val="00753D78"/>
    <w:rsid w:val="0075641D"/>
    <w:rsid w:val="00787BE9"/>
    <w:rsid w:val="007957BA"/>
    <w:rsid w:val="007A2F64"/>
    <w:rsid w:val="007A63CD"/>
    <w:rsid w:val="007D6943"/>
    <w:rsid w:val="00800523"/>
    <w:rsid w:val="008065C9"/>
    <w:rsid w:val="008129BF"/>
    <w:rsid w:val="00822863"/>
    <w:rsid w:val="00822D13"/>
    <w:rsid w:val="00826D98"/>
    <w:rsid w:val="00850D8F"/>
    <w:rsid w:val="008566D7"/>
    <w:rsid w:val="0087679F"/>
    <w:rsid w:val="00884288"/>
    <w:rsid w:val="0089598D"/>
    <w:rsid w:val="008E3139"/>
    <w:rsid w:val="008E3F36"/>
    <w:rsid w:val="00906650"/>
    <w:rsid w:val="00925ABE"/>
    <w:rsid w:val="00955416"/>
    <w:rsid w:val="00956232"/>
    <w:rsid w:val="00957816"/>
    <w:rsid w:val="00991737"/>
    <w:rsid w:val="009B5A7B"/>
    <w:rsid w:val="009D27D6"/>
    <w:rsid w:val="009E187E"/>
    <w:rsid w:val="009E637F"/>
    <w:rsid w:val="00A01C0D"/>
    <w:rsid w:val="00A222B5"/>
    <w:rsid w:val="00A35DB1"/>
    <w:rsid w:val="00A54B78"/>
    <w:rsid w:val="00A5504C"/>
    <w:rsid w:val="00A6360B"/>
    <w:rsid w:val="00A87037"/>
    <w:rsid w:val="00A87A84"/>
    <w:rsid w:val="00AC1B84"/>
    <w:rsid w:val="00AC6AB5"/>
    <w:rsid w:val="00AC7775"/>
    <w:rsid w:val="00AD0007"/>
    <w:rsid w:val="00AF1E14"/>
    <w:rsid w:val="00B05FBE"/>
    <w:rsid w:val="00B11901"/>
    <w:rsid w:val="00B37957"/>
    <w:rsid w:val="00B62881"/>
    <w:rsid w:val="00BA0B55"/>
    <w:rsid w:val="00BB0429"/>
    <w:rsid w:val="00BC2FCD"/>
    <w:rsid w:val="00BE0F40"/>
    <w:rsid w:val="00BF715C"/>
    <w:rsid w:val="00C05912"/>
    <w:rsid w:val="00C05D06"/>
    <w:rsid w:val="00C176B2"/>
    <w:rsid w:val="00C27CAF"/>
    <w:rsid w:val="00C454AD"/>
    <w:rsid w:val="00C52C42"/>
    <w:rsid w:val="00C5345F"/>
    <w:rsid w:val="00C71EB0"/>
    <w:rsid w:val="00CE2760"/>
    <w:rsid w:val="00CF773A"/>
    <w:rsid w:val="00D002ED"/>
    <w:rsid w:val="00D01294"/>
    <w:rsid w:val="00D02156"/>
    <w:rsid w:val="00D23BCC"/>
    <w:rsid w:val="00D3049A"/>
    <w:rsid w:val="00D60E1D"/>
    <w:rsid w:val="00DB7DE9"/>
    <w:rsid w:val="00E074A0"/>
    <w:rsid w:val="00E22824"/>
    <w:rsid w:val="00E3368F"/>
    <w:rsid w:val="00E762B7"/>
    <w:rsid w:val="00E82203"/>
    <w:rsid w:val="00E866BC"/>
    <w:rsid w:val="00EC5E28"/>
    <w:rsid w:val="00EE7C65"/>
    <w:rsid w:val="00F17AA6"/>
    <w:rsid w:val="00F311B3"/>
    <w:rsid w:val="00F45795"/>
    <w:rsid w:val="00F61121"/>
    <w:rsid w:val="00F71A3F"/>
    <w:rsid w:val="00F81C36"/>
    <w:rsid w:val="00F941EF"/>
    <w:rsid w:val="00FC75AB"/>
    <w:rsid w:val="00FD74FE"/>
    <w:rsid w:val="00FF5F32"/>
    <w:rsid w:val="00FF60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59858"/>
  <w15:chartTrackingRefBased/>
  <w15:docId w15:val="{2A816F7C-8CDA-4D44-B0CE-497BE63F4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1A3F"/>
    <w:pPr>
      <w:tabs>
        <w:tab w:val="center" w:pos="4819"/>
        <w:tab w:val="right" w:pos="9639"/>
      </w:tabs>
      <w:spacing w:after="0" w:line="240" w:lineRule="auto"/>
    </w:pPr>
    <w:rPr>
      <w:rFonts w:ascii="Times New Roman" w:eastAsia="Times New Roman" w:hAnsi="Times New Roman" w:cs="Times New Roman"/>
      <w:sz w:val="24"/>
      <w:szCs w:val="24"/>
      <w:lang w:eastAsia="ru-RU"/>
    </w:rPr>
  </w:style>
  <w:style w:type="character" w:customStyle="1" w:styleId="a4">
    <w:name w:val="Верхній колонтитул Знак"/>
    <w:basedOn w:val="a0"/>
    <w:link w:val="a3"/>
    <w:uiPriority w:val="99"/>
    <w:rsid w:val="00F71A3F"/>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925ABE"/>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925ABE"/>
    <w:rPr>
      <w:rFonts w:ascii="Segoe UI" w:hAnsi="Segoe UI" w:cs="Segoe UI"/>
      <w:sz w:val="18"/>
      <w:szCs w:val="18"/>
    </w:rPr>
  </w:style>
  <w:style w:type="paragraph" w:styleId="a7">
    <w:name w:val="footer"/>
    <w:basedOn w:val="a"/>
    <w:link w:val="a8"/>
    <w:uiPriority w:val="99"/>
    <w:unhideWhenUsed/>
    <w:rsid w:val="00A35DB1"/>
    <w:pPr>
      <w:tabs>
        <w:tab w:val="center" w:pos="4819"/>
        <w:tab w:val="right" w:pos="9639"/>
      </w:tabs>
      <w:spacing w:after="0" w:line="240" w:lineRule="auto"/>
    </w:pPr>
  </w:style>
  <w:style w:type="character" w:customStyle="1" w:styleId="a8">
    <w:name w:val="Нижній колонтитул Знак"/>
    <w:basedOn w:val="a0"/>
    <w:link w:val="a7"/>
    <w:uiPriority w:val="99"/>
    <w:rsid w:val="00A35DB1"/>
  </w:style>
  <w:style w:type="paragraph" w:styleId="a9">
    <w:name w:val="List Paragraph"/>
    <w:basedOn w:val="a"/>
    <w:uiPriority w:val="34"/>
    <w:qFormat/>
    <w:rsid w:val="00336FF9"/>
    <w:pPr>
      <w:ind w:left="720"/>
      <w:contextualSpacing/>
    </w:pPr>
  </w:style>
  <w:style w:type="character" w:styleId="aa">
    <w:name w:val="Hyperlink"/>
    <w:basedOn w:val="a0"/>
    <w:uiPriority w:val="99"/>
    <w:unhideWhenUsed/>
    <w:rsid w:val="00C52C42"/>
    <w:rPr>
      <w:color w:val="0563C1" w:themeColor="hyperlink"/>
      <w:u w:val="single"/>
    </w:rPr>
  </w:style>
  <w:style w:type="character" w:styleId="ab">
    <w:name w:val="Unresolved Mention"/>
    <w:basedOn w:val="a0"/>
    <w:uiPriority w:val="99"/>
    <w:semiHidden/>
    <w:unhideWhenUsed/>
    <w:rsid w:val="00991737"/>
    <w:rPr>
      <w:color w:val="605E5C"/>
      <w:shd w:val="clear" w:color="auto" w:fill="E1DFDD"/>
    </w:rPr>
  </w:style>
  <w:style w:type="paragraph" w:styleId="ac">
    <w:name w:val="Normal (Web)"/>
    <w:aliases w:val="Обычный (Web),Знак1 Знак,Знак1 Знак Знак,Знак1 Знак Знак Знак Знак Знак Знак Знак,Знак1 Знак Знак Знак,Знак1,Обычный (Web) Знак Знак Знак Знак Знак Знак,Обычный (Web)1,Обычный (веб) Знак1,Знак13 Знак,Обычный (веб) Знак Знак Знак,Знак31"/>
    <w:basedOn w:val="a"/>
    <w:link w:val="ad"/>
    <w:unhideWhenUsed/>
    <w:qFormat/>
    <w:rsid w:val="003175E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d">
    <w:name w:val="Звичайний (веб) Знак"/>
    <w:aliases w:val="Обычный (Web) Знак,Знак1 Знак Знак1,Знак1 Знак Знак Знак1,Знак1 Знак Знак Знак Знак Знак Знак Знак Знак,Знак1 Знак Знак Знак Знак,Знак1 Знак1,Обычный (Web) Знак Знак Знак Знак Знак Знак Знак,Обычный (Web)1 Знак,Знак13 Знак Знак"/>
    <w:link w:val="ac"/>
    <w:locked/>
    <w:rsid w:val="003175E4"/>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6106021">
      <w:bodyDiv w:val="1"/>
      <w:marLeft w:val="0"/>
      <w:marRight w:val="0"/>
      <w:marTop w:val="0"/>
      <w:marBottom w:val="0"/>
      <w:divBdr>
        <w:top w:val="none" w:sz="0" w:space="0" w:color="auto"/>
        <w:left w:val="none" w:sz="0" w:space="0" w:color="auto"/>
        <w:bottom w:val="none" w:sz="0" w:space="0" w:color="auto"/>
        <w:right w:val="none" w:sz="0" w:space="0" w:color="auto"/>
      </w:divBdr>
    </w:div>
    <w:div w:id="179864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E462A-A909-468F-9CB6-D73818B12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819</TotalTime>
  <Pages>2</Pages>
  <Words>2175</Words>
  <Characters>1240</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ДЯЧУК НАТАЛІЯ ВАСИЛІВНА</dc:creator>
  <cp:keywords/>
  <dc:description/>
  <cp:lastModifiedBy>ДЯЧУК НАТАЛІЯ ВАСИЛІВНА</cp:lastModifiedBy>
  <cp:revision>132</cp:revision>
  <cp:lastPrinted>2026-04-08T11:06:00Z</cp:lastPrinted>
  <dcterms:created xsi:type="dcterms:W3CDTF">2024-12-18T10:57:00Z</dcterms:created>
  <dcterms:modified xsi:type="dcterms:W3CDTF">2026-04-08T11:59:00Z</dcterms:modified>
</cp:coreProperties>
</file>